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CB5" w:rsidRDefault="00F44CB5" w:rsidP="00F44CB5">
      <w:pPr>
        <w:jc w:val="center"/>
        <w:rPr>
          <w:color w:val="000000"/>
        </w:rPr>
      </w:pPr>
      <w:r>
        <w:rPr>
          <w:color w:val="000000"/>
        </w:rPr>
        <w:t>REGLEMENT D’OCTROI DES AIDES</w:t>
      </w:r>
    </w:p>
    <w:p w:rsidR="00F44CB5" w:rsidRDefault="00F44CB5" w:rsidP="00F44CB5">
      <w:pPr>
        <w:jc w:val="center"/>
        <w:rPr>
          <w:color w:val="000000"/>
        </w:rPr>
      </w:pPr>
    </w:p>
    <w:p w:rsidR="00F44CB5" w:rsidRPr="00A551B0" w:rsidRDefault="00F44CB5" w:rsidP="00F44CB5">
      <w:pPr>
        <w:jc w:val="both"/>
        <w:rPr>
          <w:b/>
          <w:color w:val="000000"/>
          <w:u w:val="single"/>
        </w:rPr>
      </w:pPr>
      <w:r w:rsidRPr="00A551B0">
        <w:rPr>
          <w:b/>
          <w:color w:val="000000"/>
          <w:u w:val="single"/>
        </w:rPr>
        <w:t>Aide au ravalement</w:t>
      </w:r>
    </w:p>
    <w:p w:rsidR="00F44CB5" w:rsidRDefault="00F44CB5" w:rsidP="00F44CB5">
      <w:pPr>
        <w:jc w:val="both"/>
        <w:rPr>
          <w:color w:val="000000"/>
        </w:rPr>
      </w:pPr>
    </w:p>
    <w:p w:rsidR="00F44CB5" w:rsidRPr="00805D07" w:rsidRDefault="00F44CB5" w:rsidP="00F44CB5">
      <w:pPr>
        <w:jc w:val="both"/>
        <w:rPr>
          <w:rFonts w:cs="Tahoma"/>
          <w:bCs/>
          <w:color w:val="000000"/>
        </w:rPr>
      </w:pPr>
      <w:r>
        <w:rPr>
          <w:rFonts w:cs="Tahoma"/>
          <w:bCs/>
          <w:color w:val="000000"/>
        </w:rPr>
        <w:t>Le</w:t>
      </w:r>
      <w:r w:rsidRPr="00805D07">
        <w:rPr>
          <w:rFonts w:cs="Tahoma"/>
          <w:bCs/>
          <w:color w:val="000000"/>
        </w:rPr>
        <w:t xml:space="preserve"> dispositif permet le versement aux propriétaires effectuant des travaux de ravalement sur les bâtiments individuels ou des petits collectifs, d’une surface de façade de moins de 120 m², d’une subvention :</w:t>
      </w:r>
    </w:p>
    <w:p w:rsidR="00F44CB5" w:rsidRPr="00805D07" w:rsidRDefault="00F44CB5" w:rsidP="00F44CB5">
      <w:pPr>
        <w:numPr>
          <w:ilvl w:val="0"/>
          <w:numId w:val="1"/>
        </w:numPr>
        <w:jc w:val="both"/>
        <w:rPr>
          <w:rFonts w:cs="Tahoma"/>
          <w:color w:val="000000"/>
        </w:rPr>
      </w:pPr>
      <w:r w:rsidRPr="00805D07">
        <w:rPr>
          <w:rFonts w:cs="Tahoma"/>
          <w:bCs/>
          <w:color w:val="000000"/>
        </w:rPr>
        <w:t xml:space="preserve">équivalente à 20% du montant HT du coût des travaux </w:t>
      </w:r>
      <w:proofErr w:type="spellStart"/>
      <w:r w:rsidRPr="00805D07">
        <w:rPr>
          <w:rFonts w:cs="Tahoma"/>
          <w:bCs/>
          <w:color w:val="000000"/>
        </w:rPr>
        <w:t>subventionnables</w:t>
      </w:r>
      <w:proofErr w:type="spellEnd"/>
      <w:r w:rsidRPr="00805D07">
        <w:rPr>
          <w:rFonts w:cs="Tahoma"/>
          <w:bCs/>
          <w:color w:val="000000"/>
        </w:rPr>
        <w:t>, dans la limite d’un plafond de subve</w:t>
      </w:r>
      <w:r>
        <w:rPr>
          <w:rFonts w:cs="Tahoma"/>
          <w:bCs/>
          <w:color w:val="000000"/>
        </w:rPr>
        <w:t>ntions par immeuble de 5 000 € ;</w:t>
      </w:r>
    </w:p>
    <w:p w:rsidR="00F44CB5" w:rsidRPr="00805D07" w:rsidRDefault="00F44CB5" w:rsidP="00F44CB5">
      <w:pPr>
        <w:numPr>
          <w:ilvl w:val="0"/>
          <w:numId w:val="1"/>
        </w:numPr>
        <w:jc w:val="both"/>
        <w:rPr>
          <w:rFonts w:cs="Tahoma"/>
          <w:color w:val="000000"/>
        </w:rPr>
      </w:pPr>
      <w:r w:rsidRPr="00805D07">
        <w:rPr>
          <w:rFonts w:cs="Tahoma"/>
          <w:bCs/>
          <w:color w:val="000000"/>
        </w:rPr>
        <w:t xml:space="preserve">équivalente à 40% du montant HT du coût des travaux </w:t>
      </w:r>
      <w:proofErr w:type="spellStart"/>
      <w:r w:rsidRPr="00805D07">
        <w:rPr>
          <w:rFonts w:cs="Tahoma"/>
          <w:bCs/>
          <w:color w:val="000000"/>
        </w:rPr>
        <w:t>subventionnables</w:t>
      </w:r>
      <w:proofErr w:type="spellEnd"/>
      <w:r w:rsidRPr="00805D07">
        <w:rPr>
          <w:rFonts w:cs="Tahoma"/>
          <w:bCs/>
          <w:color w:val="000000"/>
        </w:rPr>
        <w:t xml:space="preserve">, dans la limite d’un plafond de subventions par immeuble de 12 000 €, dans le cadre d’un ravalement considéré </w:t>
      </w:r>
      <w:r>
        <w:rPr>
          <w:rFonts w:cs="Tahoma"/>
          <w:bCs/>
          <w:color w:val="000000"/>
        </w:rPr>
        <w:t>comme « hautement qualitatif »</w:t>
      </w:r>
      <w:r w:rsidRPr="00805D07">
        <w:rPr>
          <w:rFonts w:cs="Tahoma"/>
          <w:bCs/>
          <w:color w:val="000000"/>
        </w:rPr>
        <w:t>.</w:t>
      </w:r>
    </w:p>
    <w:p w:rsidR="00F44CB5" w:rsidRDefault="00F44CB5" w:rsidP="00F44CB5">
      <w:pPr>
        <w:pStyle w:val="En-tte"/>
        <w:tabs>
          <w:tab w:val="clear" w:pos="4536"/>
          <w:tab w:val="clear" w:pos="9072"/>
        </w:tabs>
        <w:jc w:val="both"/>
        <w:rPr>
          <w:rFonts w:eastAsia="Times New Roman"/>
          <w:color w:val="000000"/>
        </w:rPr>
      </w:pPr>
    </w:p>
    <w:p w:rsidR="00F44CB5" w:rsidRPr="00C51CE0" w:rsidRDefault="00F44CB5" w:rsidP="00F44CB5">
      <w:pPr>
        <w:jc w:val="both"/>
        <w:rPr>
          <w:rFonts w:cs="Tahoma"/>
          <w:bCs/>
          <w:color w:val="000000"/>
        </w:rPr>
      </w:pPr>
      <w:r>
        <w:rPr>
          <w:rFonts w:cs="Tahoma"/>
          <w:bCs/>
          <w:color w:val="000000"/>
        </w:rPr>
        <w:t>L</w:t>
      </w:r>
      <w:r w:rsidRPr="00C51CE0">
        <w:rPr>
          <w:rFonts w:cs="Tahoma"/>
          <w:bCs/>
          <w:color w:val="000000"/>
        </w:rPr>
        <w:t>e dispositif permet le versement aux propriétaires effectuant des travaux de ravalement sur les bâtiments individuels ou des petits collectifs, d’une surface de façade de 120 m²</w:t>
      </w:r>
      <w:r>
        <w:rPr>
          <w:rFonts w:cs="Tahoma"/>
          <w:bCs/>
          <w:color w:val="000000"/>
        </w:rPr>
        <w:t xml:space="preserve"> et plus</w:t>
      </w:r>
      <w:r w:rsidRPr="00C51CE0">
        <w:rPr>
          <w:rFonts w:cs="Tahoma"/>
          <w:bCs/>
          <w:color w:val="000000"/>
        </w:rPr>
        <w:t>,</w:t>
      </w:r>
      <w:r>
        <w:rPr>
          <w:rFonts w:cs="Tahoma"/>
          <w:bCs/>
          <w:color w:val="000000"/>
        </w:rPr>
        <w:t xml:space="preserve"> et de 30 logements ou moins</w:t>
      </w:r>
      <w:r w:rsidRPr="00C51CE0">
        <w:rPr>
          <w:rFonts w:cs="Tahoma"/>
          <w:bCs/>
          <w:color w:val="000000"/>
        </w:rPr>
        <w:t xml:space="preserve"> d’une subvention :</w:t>
      </w:r>
    </w:p>
    <w:p w:rsidR="00F44CB5" w:rsidRPr="00C51CE0" w:rsidRDefault="00F44CB5" w:rsidP="00F44CB5">
      <w:pPr>
        <w:numPr>
          <w:ilvl w:val="0"/>
          <w:numId w:val="1"/>
        </w:numPr>
        <w:jc w:val="both"/>
        <w:rPr>
          <w:rFonts w:cs="Tahoma"/>
          <w:color w:val="000000"/>
        </w:rPr>
      </w:pPr>
      <w:r w:rsidRPr="00C51CE0">
        <w:rPr>
          <w:rFonts w:cs="Tahoma"/>
          <w:bCs/>
          <w:color w:val="000000"/>
        </w:rPr>
        <w:t xml:space="preserve">équivalente à 20% du montant HT du coût des travaux </w:t>
      </w:r>
      <w:proofErr w:type="spellStart"/>
      <w:r w:rsidRPr="00C51CE0">
        <w:rPr>
          <w:rFonts w:cs="Tahoma"/>
          <w:bCs/>
          <w:color w:val="000000"/>
        </w:rPr>
        <w:t>subventionnables</w:t>
      </w:r>
      <w:proofErr w:type="spellEnd"/>
      <w:r w:rsidRPr="00C51CE0">
        <w:rPr>
          <w:rFonts w:cs="Tahoma"/>
          <w:bCs/>
          <w:color w:val="000000"/>
        </w:rPr>
        <w:t xml:space="preserve">, dans la limite d’un plafond de subventions par immeuble de </w:t>
      </w:r>
      <w:r>
        <w:rPr>
          <w:rFonts w:cs="Tahoma"/>
          <w:bCs/>
          <w:color w:val="000000"/>
        </w:rPr>
        <w:t>8</w:t>
      </w:r>
      <w:r w:rsidRPr="00C51CE0">
        <w:rPr>
          <w:rFonts w:cs="Tahoma"/>
          <w:bCs/>
          <w:color w:val="000000"/>
        </w:rPr>
        <w:t> 000 €</w:t>
      </w:r>
      <w:r>
        <w:rPr>
          <w:rFonts w:cs="Tahoma"/>
          <w:bCs/>
          <w:color w:val="000000"/>
        </w:rPr>
        <w:t xml:space="preserve"> </w:t>
      </w:r>
      <w:r w:rsidRPr="00C51CE0">
        <w:rPr>
          <w:rFonts w:cs="Tahoma"/>
          <w:bCs/>
          <w:color w:val="000000"/>
        </w:rPr>
        <w:t>;</w:t>
      </w:r>
    </w:p>
    <w:p w:rsidR="00F44CB5" w:rsidRPr="00211A5A" w:rsidRDefault="00F44CB5" w:rsidP="00F44CB5">
      <w:pPr>
        <w:numPr>
          <w:ilvl w:val="0"/>
          <w:numId w:val="1"/>
        </w:numPr>
        <w:jc w:val="both"/>
        <w:rPr>
          <w:rFonts w:cs="Tahoma"/>
          <w:color w:val="000000"/>
        </w:rPr>
      </w:pPr>
      <w:r w:rsidRPr="00C51CE0">
        <w:rPr>
          <w:rFonts w:cs="Tahoma"/>
          <w:bCs/>
          <w:color w:val="000000"/>
        </w:rPr>
        <w:t xml:space="preserve">équivalente à 40% du montant HT du coût des travaux </w:t>
      </w:r>
      <w:proofErr w:type="spellStart"/>
      <w:r w:rsidRPr="00C51CE0">
        <w:rPr>
          <w:rFonts w:cs="Tahoma"/>
          <w:bCs/>
          <w:color w:val="000000"/>
        </w:rPr>
        <w:t>subventionnables</w:t>
      </w:r>
      <w:proofErr w:type="spellEnd"/>
      <w:r w:rsidRPr="00C51CE0">
        <w:rPr>
          <w:rFonts w:cs="Tahoma"/>
          <w:bCs/>
          <w:color w:val="000000"/>
        </w:rPr>
        <w:t>, dans la limite d’un plafond de subventions par immeuble de 1</w:t>
      </w:r>
      <w:r>
        <w:rPr>
          <w:rFonts w:cs="Tahoma"/>
          <w:bCs/>
          <w:color w:val="000000"/>
        </w:rPr>
        <w:t>5</w:t>
      </w:r>
      <w:r w:rsidRPr="00C51CE0">
        <w:rPr>
          <w:rFonts w:cs="Tahoma"/>
          <w:bCs/>
          <w:color w:val="000000"/>
        </w:rPr>
        <w:t> 000 €, dans le cadre d’un ravalement considéré</w:t>
      </w:r>
      <w:r>
        <w:rPr>
          <w:rFonts w:cs="Tahoma"/>
          <w:bCs/>
          <w:color w:val="000000"/>
        </w:rPr>
        <w:t xml:space="preserve"> comme « hautement qualitatif ».</w:t>
      </w:r>
    </w:p>
    <w:p w:rsidR="00F44CB5" w:rsidRDefault="00F44CB5" w:rsidP="00F44CB5">
      <w:pPr>
        <w:jc w:val="both"/>
        <w:rPr>
          <w:rFonts w:cs="Tahoma"/>
          <w:bCs/>
          <w:color w:val="000000"/>
        </w:rPr>
      </w:pPr>
    </w:p>
    <w:p w:rsidR="00F44CB5" w:rsidRPr="00C51CE0" w:rsidRDefault="00F44CB5" w:rsidP="00F44CB5">
      <w:pPr>
        <w:jc w:val="both"/>
        <w:rPr>
          <w:rFonts w:cs="Tahoma"/>
          <w:bCs/>
          <w:color w:val="000000"/>
        </w:rPr>
      </w:pPr>
      <w:r>
        <w:rPr>
          <w:rFonts w:cs="Tahoma"/>
          <w:bCs/>
          <w:color w:val="000000"/>
        </w:rPr>
        <w:t>L</w:t>
      </w:r>
      <w:r w:rsidRPr="00C51CE0">
        <w:rPr>
          <w:rFonts w:cs="Tahoma"/>
          <w:bCs/>
          <w:color w:val="000000"/>
        </w:rPr>
        <w:t>e dispositif permet le versement aux propriétaires effectuant des travaux de ravalement sur les bâtiments individuels ou des petits collectifs, d’une surface de façade de 120 m²</w:t>
      </w:r>
      <w:r>
        <w:rPr>
          <w:rFonts w:cs="Tahoma"/>
          <w:bCs/>
          <w:color w:val="000000"/>
        </w:rPr>
        <w:t xml:space="preserve"> et plus</w:t>
      </w:r>
      <w:r w:rsidRPr="00C51CE0">
        <w:rPr>
          <w:rFonts w:cs="Tahoma"/>
          <w:bCs/>
          <w:color w:val="000000"/>
        </w:rPr>
        <w:t>,</w:t>
      </w:r>
      <w:r>
        <w:rPr>
          <w:rFonts w:cs="Tahoma"/>
          <w:bCs/>
          <w:color w:val="000000"/>
        </w:rPr>
        <w:t xml:space="preserve"> et de 31 logements ou plus</w:t>
      </w:r>
      <w:r w:rsidRPr="00C51CE0">
        <w:rPr>
          <w:rFonts w:cs="Tahoma"/>
          <w:bCs/>
          <w:color w:val="000000"/>
        </w:rPr>
        <w:t xml:space="preserve"> d’une subvention :</w:t>
      </w:r>
    </w:p>
    <w:p w:rsidR="00F44CB5" w:rsidRPr="00C51CE0" w:rsidRDefault="00F44CB5" w:rsidP="00F44CB5">
      <w:pPr>
        <w:numPr>
          <w:ilvl w:val="0"/>
          <w:numId w:val="1"/>
        </w:numPr>
        <w:jc w:val="both"/>
        <w:rPr>
          <w:rFonts w:cs="Tahoma"/>
          <w:color w:val="000000"/>
        </w:rPr>
      </w:pPr>
      <w:r w:rsidRPr="00C51CE0">
        <w:rPr>
          <w:rFonts w:cs="Tahoma"/>
          <w:bCs/>
          <w:color w:val="000000"/>
        </w:rPr>
        <w:t xml:space="preserve">équivalente à 20% du montant HT du coût des travaux </w:t>
      </w:r>
      <w:proofErr w:type="spellStart"/>
      <w:r w:rsidRPr="00C51CE0">
        <w:rPr>
          <w:rFonts w:cs="Tahoma"/>
          <w:bCs/>
          <w:color w:val="000000"/>
        </w:rPr>
        <w:t>subventionnables</w:t>
      </w:r>
      <w:proofErr w:type="spellEnd"/>
      <w:r w:rsidRPr="00C51CE0">
        <w:rPr>
          <w:rFonts w:cs="Tahoma"/>
          <w:bCs/>
          <w:color w:val="000000"/>
        </w:rPr>
        <w:t xml:space="preserve">, dans la limite d’un plafond de subventions par immeuble de </w:t>
      </w:r>
      <w:r>
        <w:rPr>
          <w:rFonts w:cs="Tahoma"/>
          <w:bCs/>
          <w:color w:val="000000"/>
        </w:rPr>
        <w:t>16</w:t>
      </w:r>
      <w:r w:rsidRPr="00C51CE0">
        <w:rPr>
          <w:rFonts w:cs="Tahoma"/>
          <w:bCs/>
          <w:color w:val="000000"/>
        </w:rPr>
        <w:t> 000 €</w:t>
      </w:r>
      <w:r>
        <w:rPr>
          <w:rFonts w:cs="Tahoma"/>
          <w:bCs/>
          <w:color w:val="000000"/>
        </w:rPr>
        <w:t xml:space="preserve"> </w:t>
      </w:r>
      <w:r w:rsidRPr="00C51CE0">
        <w:rPr>
          <w:rFonts w:cs="Tahoma"/>
          <w:bCs/>
          <w:color w:val="000000"/>
        </w:rPr>
        <w:t>;</w:t>
      </w:r>
    </w:p>
    <w:p w:rsidR="00F44CB5" w:rsidRPr="004A03A0" w:rsidRDefault="00F44CB5" w:rsidP="00F44CB5">
      <w:pPr>
        <w:numPr>
          <w:ilvl w:val="0"/>
          <w:numId w:val="1"/>
        </w:numPr>
        <w:jc w:val="both"/>
        <w:rPr>
          <w:rFonts w:cs="Tahoma"/>
          <w:color w:val="000000"/>
        </w:rPr>
      </w:pPr>
      <w:r w:rsidRPr="00C51CE0">
        <w:rPr>
          <w:rFonts w:cs="Tahoma"/>
          <w:bCs/>
          <w:color w:val="000000"/>
        </w:rPr>
        <w:t xml:space="preserve">équivalente à 40% du montant HT du coût des travaux </w:t>
      </w:r>
      <w:proofErr w:type="spellStart"/>
      <w:r w:rsidRPr="00C51CE0">
        <w:rPr>
          <w:rFonts w:cs="Tahoma"/>
          <w:bCs/>
          <w:color w:val="000000"/>
        </w:rPr>
        <w:t>subventionnables</w:t>
      </w:r>
      <w:proofErr w:type="spellEnd"/>
      <w:r w:rsidRPr="00C51CE0">
        <w:rPr>
          <w:rFonts w:cs="Tahoma"/>
          <w:bCs/>
          <w:color w:val="000000"/>
        </w:rPr>
        <w:t xml:space="preserve">, dans la limite d’un plafond de subventions par immeuble de </w:t>
      </w:r>
      <w:r>
        <w:rPr>
          <w:rFonts w:cs="Tahoma"/>
          <w:bCs/>
          <w:color w:val="000000"/>
        </w:rPr>
        <w:t>30</w:t>
      </w:r>
      <w:r w:rsidRPr="00C51CE0">
        <w:rPr>
          <w:rFonts w:cs="Tahoma"/>
          <w:bCs/>
          <w:color w:val="000000"/>
        </w:rPr>
        <w:t xml:space="preserve"> 000 €, dans le cadre d’un ravalement considéré </w:t>
      </w:r>
      <w:r>
        <w:rPr>
          <w:rFonts w:cs="Tahoma"/>
          <w:bCs/>
          <w:color w:val="000000"/>
        </w:rPr>
        <w:t>comme « hautement qualitatif ».</w:t>
      </w:r>
    </w:p>
    <w:p w:rsidR="00F44CB5" w:rsidRPr="001C3DCA" w:rsidRDefault="00F44CB5" w:rsidP="00F44CB5">
      <w:pPr>
        <w:ind w:left="720"/>
        <w:jc w:val="both"/>
        <w:rPr>
          <w:rFonts w:cs="Tahoma"/>
          <w:color w:val="000000"/>
        </w:rPr>
      </w:pPr>
    </w:p>
    <w:p w:rsidR="00F44CB5" w:rsidRPr="008D269C" w:rsidRDefault="00F44CB5" w:rsidP="00F44CB5">
      <w:pPr>
        <w:jc w:val="both"/>
        <w:rPr>
          <w:rFonts w:cs="Tahoma"/>
          <w:b/>
          <w:bCs/>
          <w:color w:val="000000"/>
        </w:rPr>
      </w:pPr>
      <w:r w:rsidRPr="008D269C">
        <w:rPr>
          <w:rFonts w:cs="Tahoma"/>
          <w:b/>
          <w:bCs/>
          <w:color w:val="000000"/>
        </w:rPr>
        <w:t xml:space="preserve">Ravalement </w:t>
      </w:r>
      <w:r>
        <w:rPr>
          <w:rFonts w:cs="Tahoma"/>
          <w:b/>
          <w:bCs/>
          <w:color w:val="000000"/>
        </w:rPr>
        <w:t xml:space="preserve">hautement </w:t>
      </w:r>
      <w:r w:rsidRPr="008D269C">
        <w:rPr>
          <w:rFonts w:cs="Tahoma"/>
          <w:b/>
          <w:bCs/>
          <w:color w:val="000000"/>
        </w:rPr>
        <w:t xml:space="preserve">qualitatif </w:t>
      </w:r>
    </w:p>
    <w:p w:rsidR="00F44CB5" w:rsidRDefault="00F44CB5" w:rsidP="00F44CB5">
      <w:pPr>
        <w:jc w:val="both"/>
        <w:rPr>
          <w:rFonts w:cs="Tahoma"/>
          <w:bCs/>
          <w:color w:val="000000"/>
        </w:rPr>
      </w:pPr>
    </w:p>
    <w:p w:rsidR="00F44CB5" w:rsidRDefault="00F44CB5" w:rsidP="00F44CB5">
      <w:pPr>
        <w:jc w:val="both"/>
        <w:rPr>
          <w:rFonts w:cs="Tahoma"/>
          <w:bCs/>
          <w:color w:val="000000"/>
        </w:rPr>
      </w:pPr>
      <w:r>
        <w:rPr>
          <w:rFonts w:cs="Tahoma"/>
          <w:bCs/>
          <w:color w:val="000000"/>
        </w:rPr>
        <w:t>Sont considérés comme hautement qualitatifs les travaux rentrant dans l’une de ces catégories :</w:t>
      </w:r>
    </w:p>
    <w:p w:rsidR="00F44CB5" w:rsidRDefault="00F44CB5" w:rsidP="00F44CB5">
      <w:pPr>
        <w:numPr>
          <w:ilvl w:val="0"/>
          <w:numId w:val="1"/>
        </w:numPr>
        <w:jc w:val="both"/>
        <w:rPr>
          <w:rFonts w:cs="Tahoma"/>
          <w:bCs/>
          <w:color w:val="000000"/>
        </w:rPr>
      </w:pPr>
      <w:r>
        <w:rPr>
          <w:rFonts w:cs="Tahoma"/>
          <w:bCs/>
          <w:color w:val="000000"/>
        </w:rPr>
        <w:t>dépose d’un enduit existant (sur l’ensemble de la façade ou de façon partielle) pour la reconstitution d’un enduit à la chaux ou au plâtre et chaux ; reconstitution de la modénature ou du décor architectural ; restauration des menuiseries bois à l’ancienne ; application d’un badigeon de lait de chaux sur l’ensemble de la façade à enduire ;</w:t>
      </w:r>
    </w:p>
    <w:p w:rsidR="00F44CB5" w:rsidRDefault="00F44CB5" w:rsidP="00F44CB5">
      <w:pPr>
        <w:numPr>
          <w:ilvl w:val="0"/>
          <w:numId w:val="1"/>
        </w:numPr>
        <w:jc w:val="both"/>
        <w:rPr>
          <w:rFonts w:cs="Tahoma"/>
          <w:bCs/>
          <w:color w:val="000000"/>
        </w:rPr>
      </w:pPr>
      <w:r>
        <w:rPr>
          <w:rFonts w:cs="Tahoma"/>
          <w:bCs/>
          <w:color w:val="000000"/>
        </w:rPr>
        <w:t xml:space="preserve">pour les immeubles en pierres : </w:t>
      </w:r>
      <w:proofErr w:type="spellStart"/>
      <w:r>
        <w:rPr>
          <w:rFonts w:cs="Tahoma"/>
          <w:bCs/>
          <w:color w:val="000000"/>
        </w:rPr>
        <w:t>hydrogommage</w:t>
      </w:r>
      <w:proofErr w:type="spellEnd"/>
      <w:r>
        <w:rPr>
          <w:rFonts w:cs="Tahoma"/>
          <w:bCs/>
          <w:color w:val="000000"/>
        </w:rPr>
        <w:t xml:space="preserve"> et restauration des pierres et de leurs joints, ainsi que des balustres, sculptures ou autres éléments de décor.</w:t>
      </w:r>
    </w:p>
    <w:p w:rsidR="00F44CB5" w:rsidRDefault="00F44CB5" w:rsidP="00F44CB5">
      <w:pPr>
        <w:ind w:left="720"/>
        <w:jc w:val="both"/>
        <w:rPr>
          <w:rFonts w:cs="Tahoma"/>
          <w:bCs/>
          <w:color w:val="000000"/>
        </w:rPr>
      </w:pPr>
    </w:p>
    <w:p w:rsidR="00F44CB5" w:rsidRDefault="00F44CB5" w:rsidP="00F44CB5">
      <w:pPr>
        <w:pStyle w:val="En-tte"/>
        <w:tabs>
          <w:tab w:val="clear" w:pos="4536"/>
          <w:tab w:val="clear" w:pos="9072"/>
        </w:tabs>
        <w:jc w:val="both"/>
        <w:rPr>
          <w:rFonts w:eastAsia="Times New Roman"/>
          <w:b/>
          <w:color w:val="000000"/>
        </w:rPr>
      </w:pPr>
      <w:r w:rsidRPr="00554C56">
        <w:rPr>
          <w:rFonts w:eastAsia="Times New Roman"/>
          <w:b/>
          <w:color w:val="000000"/>
        </w:rPr>
        <w:t>Conditions particulières</w:t>
      </w:r>
      <w:r>
        <w:rPr>
          <w:rFonts w:eastAsia="Times New Roman"/>
          <w:b/>
          <w:color w:val="000000"/>
        </w:rPr>
        <w:t xml:space="preserve"> de l’aide au ravalement</w:t>
      </w:r>
    </w:p>
    <w:p w:rsidR="00F44CB5" w:rsidRDefault="00F44CB5" w:rsidP="00F44CB5">
      <w:pPr>
        <w:pStyle w:val="En-tte"/>
        <w:tabs>
          <w:tab w:val="clear" w:pos="4536"/>
          <w:tab w:val="clear" w:pos="9072"/>
        </w:tabs>
        <w:ind w:left="720"/>
        <w:jc w:val="both"/>
        <w:rPr>
          <w:rFonts w:eastAsia="Times New Roman"/>
          <w:color w:val="000000"/>
        </w:rPr>
      </w:pPr>
    </w:p>
    <w:p w:rsidR="00F44CB5" w:rsidRPr="00805D07" w:rsidRDefault="00F44CB5" w:rsidP="00F44CB5">
      <w:pPr>
        <w:jc w:val="both"/>
        <w:rPr>
          <w:color w:val="000000"/>
        </w:rPr>
      </w:pPr>
      <w:r>
        <w:rPr>
          <w:bCs/>
          <w:color w:val="000000"/>
        </w:rPr>
        <w:t>L</w:t>
      </w:r>
      <w:r w:rsidRPr="00805D07">
        <w:rPr>
          <w:bCs/>
          <w:color w:val="000000"/>
        </w:rPr>
        <w:t>es travaux subventionnés au titre de cette aide portent sur les travaux de ravalement des façades visibles de</w:t>
      </w:r>
      <w:r>
        <w:rPr>
          <w:bCs/>
          <w:color w:val="000000"/>
        </w:rPr>
        <w:t>puis</w:t>
      </w:r>
      <w:r w:rsidRPr="00805D07">
        <w:rPr>
          <w:bCs/>
          <w:color w:val="000000"/>
        </w:rPr>
        <w:t xml:space="preserve"> l’espace public</w:t>
      </w:r>
      <w:r>
        <w:rPr>
          <w:bCs/>
          <w:color w:val="000000"/>
        </w:rPr>
        <w:t xml:space="preserve"> situé au sein du périmètre instauré</w:t>
      </w:r>
      <w:r w:rsidRPr="00805D07">
        <w:rPr>
          <w:bCs/>
          <w:color w:val="000000"/>
        </w:rPr>
        <w:t>, y compris les m</w:t>
      </w:r>
      <w:r>
        <w:rPr>
          <w:bCs/>
          <w:color w:val="000000"/>
        </w:rPr>
        <w:t>u</w:t>
      </w:r>
      <w:r w:rsidRPr="00805D07">
        <w:rPr>
          <w:bCs/>
          <w:color w:val="000000"/>
        </w:rPr>
        <w:t xml:space="preserve">rs pignons, les </w:t>
      </w:r>
      <w:r w:rsidRPr="004714B7">
        <w:rPr>
          <w:bCs/>
          <w:color w:val="000000"/>
        </w:rPr>
        <w:t>murs de clôture et de soutènement, les immeubles d’angle lorsque les faces sont visibles au sein du périmètre mis en place.</w:t>
      </w:r>
    </w:p>
    <w:p w:rsidR="00F44CB5" w:rsidRDefault="00F44CB5" w:rsidP="00F44CB5">
      <w:pPr>
        <w:jc w:val="both"/>
        <w:rPr>
          <w:rFonts w:eastAsia="Times New Roman"/>
          <w:color w:val="000000"/>
        </w:rPr>
      </w:pPr>
    </w:p>
    <w:p w:rsidR="00F44CB5" w:rsidRDefault="00F44CB5" w:rsidP="00F44CB5">
      <w:pPr>
        <w:pStyle w:val="En-tte"/>
        <w:tabs>
          <w:tab w:val="clear" w:pos="4536"/>
          <w:tab w:val="clear" w:pos="9072"/>
        </w:tabs>
        <w:ind w:left="720"/>
        <w:jc w:val="both"/>
        <w:rPr>
          <w:rFonts w:eastAsia="Times New Roman"/>
          <w:color w:val="000000"/>
        </w:rPr>
      </w:pPr>
    </w:p>
    <w:p w:rsidR="00F44CB5" w:rsidRDefault="00F44CB5" w:rsidP="00F44CB5">
      <w:pPr>
        <w:pStyle w:val="En-tte"/>
        <w:tabs>
          <w:tab w:val="clear" w:pos="4536"/>
          <w:tab w:val="clear" w:pos="9072"/>
        </w:tabs>
        <w:jc w:val="both"/>
        <w:rPr>
          <w:rFonts w:cs="Tahoma"/>
          <w:bCs/>
          <w:color w:val="000000"/>
        </w:rPr>
      </w:pPr>
      <w:r>
        <w:rPr>
          <w:rFonts w:cs="Tahoma"/>
          <w:bCs/>
          <w:color w:val="000000"/>
        </w:rPr>
        <w:t>P</w:t>
      </w:r>
      <w:r w:rsidRPr="00805D07">
        <w:rPr>
          <w:rFonts w:cs="Tahoma"/>
          <w:bCs/>
          <w:color w:val="000000"/>
        </w:rPr>
        <w:t>our bénéficier de la subvention, l’ensemb</w:t>
      </w:r>
      <w:r>
        <w:rPr>
          <w:rFonts w:cs="Tahoma"/>
          <w:bCs/>
          <w:color w:val="000000"/>
        </w:rPr>
        <w:t>le des façades visibles depuis l</w:t>
      </w:r>
      <w:r w:rsidRPr="00805D07">
        <w:rPr>
          <w:rFonts w:cs="Tahoma"/>
          <w:bCs/>
          <w:color w:val="000000"/>
        </w:rPr>
        <w:t>’espace public</w:t>
      </w:r>
      <w:r>
        <w:rPr>
          <w:rFonts w:cs="Tahoma"/>
          <w:bCs/>
          <w:color w:val="000000"/>
        </w:rPr>
        <w:t xml:space="preserve"> situé au sein </w:t>
      </w:r>
      <w:r>
        <w:rPr>
          <w:rFonts w:cs="Tahoma"/>
          <w:bCs/>
          <w:color w:val="000000"/>
        </w:rPr>
        <w:lastRenderedPageBreak/>
        <w:t>du périmètre instauré</w:t>
      </w:r>
      <w:r w:rsidRPr="00805D07">
        <w:rPr>
          <w:rFonts w:cs="Tahoma"/>
          <w:bCs/>
          <w:color w:val="000000"/>
        </w:rPr>
        <w:t xml:space="preserve"> doit être ravalé</w:t>
      </w:r>
      <w:r>
        <w:rPr>
          <w:rFonts w:cs="Tahoma"/>
          <w:bCs/>
          <w:color w:val="000000"/>
        </w:rPr>
        <w:t>.</w:t>
      </w:r>
    </w:p>
    <w:p w:rsidR="00F44CB5" w:rsidRDefault="00F44CB5" w:rsidP="00F44CB5">
      <w:pPr>
        <w:pStyle w:val="En-tte"/>
        <w:tabs>
          <w:tab w:val="clear" w:pos="4536"/>
          <w:tab w:val="clear" w:pos="9072"/>
        </w:tabs>
        <w:jc w:val="both"/>
        <w:rPr>
          <w:rFonts w:cs="Tahoma"/>
          <w:bCs/>
          <w:color w:val="000000"/>
        </w:rPr>
      </w:pPr>
    </w:p>
    <w:p w:rsidR="00F44CB5" w:rsidRDefault="00F44CB5" w:rsidP="00F44CB5">
      <w:pPr>
        <w:pStyle w:val="En-tte"/>
        <w:tabs>
          <w:tab w:val="clear" w:pos="4536"/>
          <w:tab w:val="clear" w:pos="9072"/>
        </w:tabs>
        <w:jc w:val="both"/>
        <w:rPr>
          <w:rFonts w:eastAsia="Times New Roman"/>
          <w:color w:val="000000"/>
        </w:rPr>
      </w:pPr>
      <w:r>
        <w:rPr>
          <w:rFonts w:cs="Tahoma"/>
          <w:bCs/>
          <w:color w:val="000000"/>
        </w:rPr>
        <w:t>C</w:t>
      </w:r>
      <w:r w:rsidRPr="00805D07">
        <w:rPr>
          <w:rFonts w:cs="Tahoma"/>
          <w:bCs/>
          <w:color w:val="000000"/>
        </w:rPr>
        <w:t>ette aide</w:t>
      </w:r>
      <w:r>
        <w:rPr>
          <w:rFonts w:cs="Tahoma"/>
          <w:bCs/>
          <w:color w:val="000000"/>
        </w:rPr>
        <w:t xml:space="preserve"> au ravalement</w:t>
      </w:r>
      <w:r w:rsidRPr="00805D07">
        <w:rPr>
          <w:rFonts w:cs="Tahoma"/>
          <w:bCs/>
          <w:color w:val="000000"/>
        </w:rPr>
        <w:t xml:space="preserve"> prend en compte également la mise en peinture des volets et autres ferronneries mais ne prend pas en compte le</w:t>
      </w:r>
      <w:r>
        <w:rPr>
          <w:rFonts w:cs="Tahoma"/>
          <w:bCs/>
          <w:color w:val="000000"/>
        </w:rPr>
        <w:t>ur remplacement.</w:t>
      </w:r>
    </w:p>
    <w:p w:rsidR="00F44CB5" w:rsidRDefault="00F44CB5" w:rsidP="00F44CB5">
      <w:pPr>
        <w:pStyle w:val="En-tte"/>
        <w:tabs>
          <w:tab w:val="clear" w:pos="4536"/>
          <w:tab w:val="clear" w:pos="9072"/>
        </w:tabs>
        <w:jc w:val="both"/>
        <w:rPr>
          <w:rFonts w:cs="Tahoma"/>
          <w:bCs/>
          <w:color w:val="000000"/>
        </w:rPr>
      </w:pPr>
    </w:p>
    <w:p w:rsidR="00F44CB5" w:rsidRDefault="00F44CB5" w:rsidP="00F44CB5">
      <w:pPr>
        <w:jc w:val="both"/>
        <w:rPr>
          <w:rFonts w:cs="Tahoma"/>
          <w:bCs/>
          <w:color w:val="000000"/>
        </w:rPr>
      </w:pPr>
      <w:r>
        <w:rPr>
          <w:rFonts w:cs="Tahoma"/>
          <w:bCs/>
          <w:color w:val="000000"/>
        </w:rPr>
        <w:t>Pour l’application du critère de surface de façade, la surface considérée faisant l’objet du ravalement est considérée « vide pour plein », c’est-à-dire englobant la surface de toutes les ouvertures, fenêtres, baies, portes et vitrines présentes sur la façade ravalée.</w:t>
      </w:r>
    </w:p>
    <w:p w:rsidR="00F44CB5" w:rsidRDefault="00F44CB5" w:rsidP="00F44CB5">
      <w:pPr>
        <w:jc w:val="both"/>
        <w:rPr>
          <w:rFonts w:cs="Tahoma"/>
          <w:bCs/>
          <w:color w:val="000000"/>
        </w:rPr>
      </w:pPr>
    </w:p>
    <w:p w:rsidR="00F44CB5" w:rsidRPr="00A551B0" w:rsidRDefault="00F44CB5" w:rsidP="00F44CB5">
      <w:pPr>
        <w:pStyle w:val="En-tte"/>
        <w:tabs>
          <w:tab w:val="clear" w:pos="4536"/>
          <w:tab w:val="clear" w:pos="9072"/>
        </w:tabs>
        <w:jc w:val="both"/>
        <w:rPr>
          <w:rFonts w:cs="Tahoma"/>
          <w:b/>
          <w:bCs/>
          <w:color w:val="000000"/>
          <w:u w:val="single"/>
        </w:rPr>
      </w:pPr>
      <w:r w:rsidRPr="00A551B0">
        <w:rPr>
          <w:rFonts w:cs="Tahoma"/>
          <w:b/>
          <w:bCs/>
          <w:color w:val="000000"/>
          <w:u w:val="single"/>
        </w:rPr>
        <w:t>Aide à la rénovation des devantures commerciales</w:t>
      </w:r>
    </w:p>
    <w:p w:rsidR="00F44CB5" w:rsidRDefault="00F44CB5" w:rsidP="00F44CB5">
      <w:pPr>
        <w:pStyle w:val="En-tte"/>
        <w:tabs>
          <w:tab w:val="clear" w:pos="4536"/>
          <w:tab w:val="clear" w:pos="9072"/>
        </w:tabs>
        <w:jc w:val="both"/>
        <w:rPr>
          <w:rFonts w:cs="Tahoma"/>
          <w:bCs/>
          <w:color w:val="000000"/>
        </w:rPr>
      </w:pPr>
    </w:p>
    <w:p w:rsidR="00F44CB5" w:rsidRDefault="00F44CB5" w:rsidP="00F44CB5">
      <w:pPr>
        <w:jc w:val="both"/>
        <w:rPr>
          <w:rFonts w:cs="Tahoma"/>
          <w:bCs/>
          <w:color w:val="000000"/>
        </w:rPr>
      </w:pPr>
      <w:r>
        <w:rPr>
          <w:rFonts w:cs="Tahoma"/>
          <w:bCs/>
          <w:color w:val="000000"/>
        </w:rPr>
        <w:t>L</w:t>
      </w:r>
      <w:r w:rsidRPr="005400B5">
        <w:rPr>
          <w:rFonts w:cs="Tahoma"/>
          <w:bCs/>
          <w:color w:val="000000"/>
        </w:rPr>
        <w:t xml:space="preserve">e dispositif permet le versement au propriétaire des murs ou à l’exploitant du fond effectuant une rénovation de la devanture commerciale d’une subvention équivalente à 20% du montant HT du coût des travaux </w:t>
      </w:r>
      <w:proofErr w:type="spellStart"/>
      <w:r w:rsidRPr="005400B5">
        <w:rPr>
          <w:rFonts w:cs="Tahoma"/>
          <w:bCs/>
          <w:color w:val="000000"/>
        </w:rPr>
        <w:t>subventionnables</w:t>
      </w:r>
      <w:proofErr w:type="spellEnd"/>
      <w:r w:rsidRPr="005400B5">
        <w:rPr>
          <w:rFonts w:cs="Tahoma"/>
          <w:bCs/>
          <w:color w:val="000000"/>
        </w:rPr>
        <w:t xml:space="preserve">, dans la limite d’un plafond de subventions par </w:t>
      </w:r>
      <w:r>
        <w:rPr>
          <w:rFonts w:cs="Tahoma"/>
          <w:bCs/>
          <w:color w:val="000000"/>
        </w:rPr>
        <w:t>devanture</w:t>
      </w:r>
      <w:r w:rsidRPr="005400B5">
        <w:rPr>
          <w:rFonts w:cs="Tahoma"/>
          <w:bCs/>
          <w:color w:val="000000"/>
        </w:rPr>
        <w:t xml:space="preserve"> </w:t>
      </w:r>
      <w:r>
        <w:rPr>
          <w:rFonts w:cs="Tahoma"/>
          <w:bCs/>
          <w:color w:val="000000"/>
        </w:rPr>
        <w:t xml:space="preserve">commerciale </w:t>
      </w:r>
      <w:r w:rsidRPr="005400B5">
        <w:rPr>
          <w:rFonts w:cs="Tahoma"/>
          <w:bCs/>
          <w:color w:val="000000"/>
        </w:rPr>
        <w:t>de 3 000 €.</w:t>
      </w:r>
    </w:p>
    <w:p w:rsidR="00F44CB5" w:rsidRDefault="00F44CB5" w:rsidP="00F44CB5">
      <w:pPr>
        <w:jc w:val="both"/>
        <w:rPr>
          <w:rFonts w:cs="Tahoma"/>
          <w:bCs/>
          <w:color w:val="000000"/>
        </w:rPr>
      </w:pPr>
    </w:p>
    <w:p w:rsidR="00F44CB5" w:rsidRPr="005400B5" w:rsidRDefault="00F44CB5" w:rsidP="00F44CB5">
      <w:pPr>
        <w:jc w:val="both"/>
        <w:rPr>
          <w:rFonts w:cs="Tahoma"/>
          <w:bCs/>
          <w:color w:val="000000"/>
        </w:rPr>
      </w:pPr>
      <w:r w:rsidRPr="004A03A0">
        <w:rPr>
          <w:rFonts w:cs="Tahoma"/>
          <w:bCs/>
          <w:color w:val="000000"/>
        </w:rPr>
        <w:t xml:space="preserve">La </w:t>
      </w:r>
      <w:r>
        <w:rPr>
          <w:rFonts w:cs="Tahoma"/>
          <w:bCs/>
          <w:color w:val="000000"/>
        </w:rPr>
        <w:t>« rénovation de la devanture commerciale » est entendue au sens d’une mise en peinture ou d’un habillage de la façade hors enseigne commerciale, y compris le changement des menuiseries.</w:t>
      </w:r>
    </w:p>
    <w:p w:rsidR="00F44CB5" w:rsidRDefault="00F44CB5" w:rsidP="00F44CB5">
      <w:pPr>
        <w:ind w:left="720"/>
        <w:jc w:val="both"/>
        <w:rPr>
          <w:rFonts w:cs="Tahoma"/>
          <w:color w:val="000000"/>
        </w:rPr>
      </w:pPr>
    </w:p>
    <w:p w:rsidR="00F44CB5" w:rsidRPr="00A551B0" w:rsidRDefault="00F44CB5" w:rsidP="00F44CB5">
      <w:pPr>
        <w:jc w:val="both"/>
        <w:rPr>
          <w:rFonts w:cs="Tahoma"/>
          <w:b/>
          <w:color w:val="000000"/>
          <w:u w:val="single"/>
        </w:rPr>
      </w:pPr>
      <w:r w:rsidRPr="00A551B0">
        <w:rPr>
          <w:rFonts w:cs="Tahoma"/>
          <w:b/>
          <w:color w:val="000000"/>
          <w:u w:val="single"/>
        </w:rPr>
        <w:t>Aide au changement des menuiseries usagées</w:t>
      </w:r>
    </w:p>
    <w:p w:rsidR="00F44CB5" w:rsidRPr="004A03A0" w:rsidRDefault="00F44CB5" w:rsidP="00F44CB5">
      <w:pPr>
        <w:jc w:val="both"/>
        <w:rPr>
          <w:rFonts w:cs="Tahoma"/>
          <w:color w:val="000000"/>
          <w:highlight w:val="yellow"/>
        </w:rPr>
      </w:pPr>
    </w:p>
    <w:p w:rsidR="00F44CB5" w:rsidRDefault="00F44CB5" w:rsidP="00F44CB5">
      <w:pPr>
        <w:jc w:val="both"/>
        <w:rPr>
          <w:rFonts w:cs="Tahoma"/>
          <w:bCs/>
          <w:color w:val="000000"/>
        </w:rPr>
      </w:pPr>
      <w:r w:rsidRPr="004A03A0">
        <w:rPr>
          <w:rFonts w:cs="Tahoma"/>
          <w:bCs/>
          <w:color w:val="000000"/>
        </w:rPr>
        <w:t>Le dispositif permet le versement aux propriétaires effectuant le changement des menuiseries usagées par des menuiseries en bois</w:t>
      </w:r>
      <w:r>
        <w:rPr>
          <w:rFonts w:cs="Tahoma"/>
          <w:bCs/>
          <w:color w:val="000000"/>
        </w:rPr>
        <w:t xml:space="preserve"> (hors devanture commerciale)</w:t>
      </w:r>
      <w:r w:rsidRPr="004A03A0">
        <w:rPr>
          <w:rFonts w:cs="Tahoma"/>
          <w:bCs/>
          <w:color w:val="000000"/>
        </w:rPr>
        <w:t>, d’une subvention équivalente à 10% du montant HT du co</w:t>
      </w:r>
      <w:r>
        <w:rPr>
          <w:rFonts w:cs="Tahoma"/>
          <w:bCs/>
          <w:color w:val="000000"/>
        </w:rPr>
        <w:t xml:space="preserve">ût des travaux </w:t>
      </w:r>
      <w:proofErr w:type="spellStart"/>
      <w:r>
        <w:rPr>
          <w:rFonts w:cs="Tahoma"/>
          <w:bCs/>
          <w:color w:val="000000"/>
        </w:rPr>
        <w:t>subventionnables</w:t>
      </w:r>
      <w:proofErr w:type="spellEnd"/>
      <w:r>
        <w:rPr>
          <w:rFonts w:cs="Tahoma"/>
          <w:bCs/>
          <w:color w:val="000000"/>
        </w:rPr>
        <w:t>, plafonnée à 1 500 €.</w:t>
      </w:r>
    </w:p>
    <w:p w:rsidR="00F44CB5" w:rsidRDefault="00F44CB5" w:rsidP="00F44CB5">
      <w:pPr>
        <w:jc w:val="both"/>
        <w:rPr>
          <w:rFonts w:cs="Tahoma"/>
          <w:bCs/>
          <w:color w:val="000000"/>
        </w:rPr>
      </w:pPr>
    </w:p>
    <w:p w:rsidR="00F44CB5" w:rsidRPr="00554C56" w:rsidRDefault="00F44CB5" w:rsidP="00F44CB5">
      <w:pPr>
        <w:jc w:val="both"/>
        <w:rPr>
          <w:rFonts w:cs="Tahoma"/>
          <w:b/>
          <w:bCs/>
          <w:color w:val="000000"/>
        </w:rPr>
      </w:pPr>
      <w:r w:rsidRPr="00554C56">
        <w:rPr>
          <w:rFonts w:cs="Tahoma"/>
          <w:b/>
          <w:bCs/>
          <w:color w:val="000000"/>
        </w:rPr>
        <w:t>Remboursement de la taxe d’échafaudage</w:t>
      </w:r>
    </w:p>
    <w:p w:rsidR="00F44CB5" w:rsidRDefault="00F44CB5" w:rsidP="00F44CB5">
      <w:pPr>
        <w:jc w:val="both"/>
        <w:rPr>
          <w:rFonts w:cs="Tahoma"/>
          <w:bCs/>
          <w:color w:val="000000"/>
        </w:rPr>
      </w:pPr>
    </w:p>
    <w:p w:rsidR="00F44CB5" w:rsidRDefault="00F44CB5" w:rsidP="00F44CB5">
      <w:pPr>
        <w:jc w:val="both"/>
        <w:rPr>
          <w:rFonts w:cs="Tahoma"/>
          <w:bCs/>
          <w:color w:val="000000"/>
        </w:rPr>
      </w:pPr>
      <w:r>
        <w:rPr>
          <w:rFonts w:cs="Tahoma"/>
          <w:bCs/>
          <w:color w:val="000000"/>
        </w:rPr>
        <w:t>Le dispositif ouvrira droit au remboursement, par la Ville, de la taxe dite d’échafaudage correspondant aux droits de voirie acquittés dans le cadre de l’exécution du ravalement, dans la limite d’une période maximale de 3 mois pour les maisons individuelles et petits collectifs ainsi que pour la rénovation de la devanture commerciale, et d’une période maximale de 6 mois pour les immeubles collectifs (31 logements et plus).</w:t>
      </w:r>
    </w:p>
    <w:p w:rsidR="00F44CB5" w:rsidRDefault="00F44CB5" w:rsidP="00F44CB5">
      <w:pPr>
        <w:jc w:val="both"/>
        <w:rPr>
          <w:rFonts w:cs="Tahoma"/>
          <w:bCs/>
          <w:color w:val="000000"/>
        </w:rPr>
      </w:pPr>
    </w:p>
    <w:p w:rsidR="00F44CB5" w:rsidRDefault="00F44CB5" w:rsidP="00F44CB5">
      <w:pPr>
        <w:jc w:val="both"/>
        <w:rPr>
          <w:rFonts w:cs="Tahoma"/>
          <w:b/>
          <w:bCs/>
          <w:color w:val="000000"/>
        </w:rPr>
      </w:pPr>
      <w:r w:rsidRPr="00554C56">
        <w:rPr>
          <w:rFonts w:cs="Tahoma"/>
          <w:b/>
          <w:bCs/>
          <w:color w:val="000000"/>
        </w:rPr>
        <w:t xml:space="preserve">Demande </w:t>
      </w:r>
      <w:r>
        <w:rPr>
          <w:rFonts w:cs="Tahoma"/>
          <w:b/>
          <w:bCs/>
          <w:color w:val="000000"/>
        </w:rPr>
        <w:t>et paiement d</w:t>
      </w:r>
      <w:r w:rsidRPr="00554C56">
        <w:rPr>
          <w:rFonts w:cs="Tahoma"/>
          <w:b/>
          <w:bCs/>
          <w:color w:val="000000"/>
        </w:rPr>
        <w:t xml:space="preserve">e </w:t>
      </w:r>
      <w:r>
        <w:rPr>
          <w:rFonts w:cs="Tahoma"/>
          <w:b/>
          <w:bCs/>
          <w:color w:val="000000"/>
        </w:rPr>
        <w:t xml:space="preserve">la </w:t>
      </w:r>
      <w:r w:rsidRPr="00554C56">
        <w:rPr>
          <w:rFonts w:cs="Tahoma"/>
          <w:b/>
          <w:bCs/>
          <w:color w:val="000000"/>
        </w:rPr>
        <w:t>subvention</w:t>
      </w:r>
      <w:r>
        <w:rPr>
          <w:rFonts w:cs="Tahoma"/>
          <w:b/>
          <w:bCs/>
          <w:color w:val="000000"/>
        </w:rPr>
        <w:t xml:space="preserve"> </w:t>
      </w:r>
    </w:p>
    <w:p w:rsidR="00F44CB5" w:rsidRDefault="00F44CB5" w:rsidP="00F44CB5">
      <w:pPr>
        <w:jc w:val="both"/>
        <w:rPr>
          <w:rFonts w:cs="Tahoma"/>
          <w:bCs/>
          <w:color w:val="000000"/>
        </w:rPr>
      </w:pPr>
    </w:p>
    <w:p w:rsidR="00F44CB5" w:rsidRDefault="00F44CB5" w:rsidP="00F44CB5">
      <w:pPr>
        <w:jc w:val="both"/>
        <w:rPr>
          <w:rFonts w:cs="Tahoma"/>
          <w:bCs/>
          <w:color w:val="000000"/>
        </w:rPr>
      </w:pPr>
      <w:r>
        <w:rPr>
          <w:rFonts w:cs="Tahoma"/>
          <w:bCs/>
          <w:color w:val="000000"/>
        </w:rPr>
        <w:t>Pour solliciter la subvention et obtenir son versement, le demandeur doit fournir des devis détaillés des travaux au moment de la demande de la subvention ainsi que des factures détaillées acquittées au moment du paiement de la subvention.</w:t>
      </w:r>
    </w:p>
    <w:p w:rsidR="00F44CB5" w:rsidRDefault="00F44CB5" w:rsidP="00F44CB5">
      <w:pPr>
        <w:jc w:val="both"/>
        <w:rPr>
          <w:rFonts w:cs="Tahoma"/>
          <w:bCs/>
          <w:color w:val="000000"/>
        </w:rPr>
      </w:pPr>
    </w:p>
    <w:p w:rsidR="00F44CB5" w:rsidRDefault="00F44CB5" w:rsidP="00F44CB5">
      <w:pPr>
        <w:jc w:val="both"/>
        <w:rPr>
          <w:rFonts w:cs="Tahoma"/>
          <w:bCs/>
          <w:color w:val="000000"/>
        </w:rPr>
      </w:pPr>
      <w:r>
        <w:rPr>
          <w:rFonts w:cs="Tahoma"/>
          <w:bCs/>
          <w:color w:val="000000"/>
        </w:rPr>
        <w:t xml:space="preserve">La subvention est versée aux demandeurs sous réserve du respect du contenu de l’autorisation d’urbanisme délivrée par la mairie (attestation de conformité) et sur la base d’une facture acquittée </w:t>
      </w:r>
      <w:r w:rsidRPr="004553F5">
        <w:rPr>
          <w:rFonts w:cs="Tahoma"/>
          <w:bCs/>
          <w:color w:val="000000"/>
        </w:rPr>
        <w:t xml:space="preserve">garantissant l’exécution desdits travaux dans le délai de validité de l’autorisation d’urbanisme, ainsi </w:t>
      </w:r>
      <w:proofErr w:type="gramStart"/>
      <w:r w:rsidRPr="004553F5">
        <w:rPr>
          <w:rFonts w:cs="Tahoma"/>
          <w:bCs/>
          <w:color w:val="000000"/>
        </w:rPr>
        <w:t>qu’une</w:t>
      </w:r>
      <w:proofErr w:type="gramEnd"/>
      <w:r w:rsidRPr="004553F5">
        <w:rPr>
          <w:rFonts w:cs="Tahoma"/>
          <w:bCs/>
          <w:color w:val="000000"/>
        </w:rPr>
        <w:t xml:space="preserve"> copie des arrêtés de voirie correspondant à l’occupation du domaine public.</w:t>
      </w:r>
    </w:p>
    <w:p w:rsidR="00F44CB5" w:rsidRDefault="00F44CB5" w:rsidP="00F44CB5">
      <w:pPr>
        <w:jc w:val="both"/>
        <w:rPr>
          <w:rFonts w:cs="Tahoma"/>
          <w:bCs/>
          <w:color w:val="000000"/>
        </w:rPr>
      </w:pPr>
    </w:p>
    <w:p w:rsidR="00F44CB5" w:rsidRDefault="00F44CB5" w:rsidP="00F44CB5">
      <w:pPr>
        <w:jc w:val="both"/>
        <w:rPr>
          <w:rFonts w:cs="Tahoma"/>
          <w:bCs/>
          <w:color w:val="000000"/>
        </w:rPr>
      </w:pPr>
    </w:p>
    <w:p w:rsidR="00F44CB5" w:rsidRDefault="00F44CB5" w:rsidP="00F44CB5">
      <w:pPr>
        <w:jc w:val="both"/>
        <w:rPr>
          <w:rFonts w:cs="Tahoma"/>
          <w:bCs/>
          <w:color w:val="000000"/>
        </w:rPr>
      </w:pPr>
    </w:p>
    <w:p w:rsidR="00F44CB5" w:rsidRDefault="00F44CB5" w:rsidP="00F44CB5">
      <w:pPr>
        <w:jc w:val="both"/>
        <w:rPr>
          <w:rFonts w:cs="Tahoma"/>
          <w:bCs/>
          <w:color w:val="000000"/>
        </w:rPr>
      </w:pPr>
    </w:p>
    <w:p w:rsidR="00717866" w:rsidRDefault="00717866" w:rsidP="00F44CB5">
      <w:pPr>
        <w:jc w:val="both"/>
        <w:rPr>
          <w:rFonts w:cs="Tahoma"/>
          <w:bCs/>
          <w:color w:val="000000"/>
        </w:rPr>
      </w:pPr>
    </w:p>
    <w:p w:rsidR="00717866" w:rsidRDefault="00717866" w:rsidP="00F44CB5">
      <w:pPr>
        <w:jc w:val="both"/>
        <w:rPr>
          <w:rFonts w:cs="Tahoma"/>
          <w:bCs/>
          <w:color w:val="000000"/>
        </w:rPr>
      </w:pPr>
    </w:p>
    <w:p w:rsidR="00F44CB5" w:rsidRDefault="00F44CB5" w:rsidP="00F44CB5">
      <w:pPr>
        <w:jc w:val="both"/>
        <w:rPr>
          <w:rFonts w:cs="Tahoma"/>
          <w:bCs/>
          <w:color w:val="000000"/>
        </w:rPr>
      </w:pPr>
    </w:p>
    <w:p w:rsidR="00F44CB5" w:rsidRPr="004A03A0" w:rsidRDefault="00F44CB5" w:rsidP="00F44CB5">
      <w:pPr>
        <w:jc w:val="both"/>
        <w:rPr>
          <w:rFonts w:cs="Tahoma"/>
          <w:b/>
          <w:bCs/>
          <w:color w:val="000000"/>
        </w:rPr>
      </w:pPr>
      <w:r w:rsidRPr="004A03A0">
        <w:rPr>
          <w:rFonts w:cs="Tahoma"/>
          <w:b/>
          <w:bCs/>
          <w:color w:val="000000"/>
        </w:rPr>
        <w:lastRenderedPageBreak/>
        <w:t>Tableau récapitulatif</w:t>
      </w:r>
      <w:r>
        <w:rPr>
          <w:rFonts w:cs="Tahoma"/>
          <w:b/>
          <w:bCs/>
          <w:color w:val="000000"/>
        </w:rPr>
        <w:t xml:space="preserve"> des aides</w:t>
      </w:r>
    </w:p>
    <w:tbl>
      <w:tblPr>
        <w:tblpPr w:leftFromText="141" w:rightFromText="141" w:vertAnchor="text" w:horzAnchor="margin" w:tblpY="134"/>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gridCol w:w="2449"/>
        <w:gridCol w:w="2449"/>
        <w:gridCol w:w="2449"/>
      </w:tblGrid>
      <w:tr w:rsidR="00F44CB5" w:rsidRPr="004A03A0" w:rsidTr="00AE39CF">
        <w:tc>
          <w:tcPr>
            <w:tcW w:w="2449" w:type="dxa"/>
            <w:tcBorders>
              <w:top w:val="single" w:sz="12" w:space="0" w:color="auto"/>
              <w:left w:val="single" w:sz="12" w:space="0" w:color="auto"/>
              <w:bottom w:val="single" w:sz="12" w:space="0" w:color="auto"/>
            </w:tcBorders>
            <w:shd w:val="clear" w:color="auto" w:fill="auto"/>
            <w:vAlign w:val="center"/>
          </w:tcPr>
          <w:p w:rsidR="00F44CB5" w:rsidRPr="004A03A0" w:rsidRDefault="00F44CB5" w:rsidP="00005A79">
            <w:pPr>
              <w:jc w:val="center"/>
              <w:rPr>
                <w:color w:val="000000"/>
              </w:rPr>
            </w:pPr>
            <w:r w:rsidRPr="004A03A0">
              <w:rPr>
                <w:color w:val="000000"/>
              </w:rPr>
              <w:t>Aide communale</w:t>
            </w:r>
          </w:p>
        </w:tc>
        <w:tc>
          <w:tcPr>
            <w:tcW w:w="2449" w:type="dxa"/>
            <w:tcBorders>
              <w:top w:val="single" w:sz="12" w:space="0" w:color="auto"/>
              <w:bottom w:val="single" w:sz="12" w:space="0" w:color="auto"/>
            </w:tcBorders>
            <w:shd w:val="clear" w:color="auto" w:fill="auto"/>
          </w:tcPr>
          <w:p w:rsidR="00F44CB5" w:rsidRPr="004A03A0" w:rsidRDefault="00F44CB5" w:rsidP="00005A79">
            <w:pPr>
              <w:jc w:val="center"/>
              <w:rPr>
                <w:color w:val="000000"/>
              </w:rPr>
            </w:pPr>
            <w:r w:rsidRPr="004A03A0">
              <w:rPr>
                <w:color w:val="000000"/>
              </w:rPr>
              <w:t>Surface de façade &lt; à 120 m² en individuel ou petits collectifs</w:t>
            </w:r>
          </w:p>
        </w:tc>
        <w:tc>
          <w:tcPr>
            <w:tcW w:w="2449" w:type="dxa"/>
            <w:tcBorders>
              <w:top w:val="single" w:sz="12" w:space="0" w:color="auto"/>
              <w:bottom w:val="single" w:sz="12" w:space="0" w:color="auto"/>
            </w:tcBorders>
            <w:shd w:val="clear" w:color="auto" w:fill="auto"/>
          </w:tcPr>
          <w:p w:rsidR="00F44CB5" w:rsidRPr="004A03A0" w:rsidRDefault="00F44CB5" w:rsidP="00005A79">
            <w:pPr>
              <w:jc w:val="center"/>
              <w:rPr>
                <w:color w:val="000000"/>
              </w:rPr>
            </w:pPr>
            <w:r w:rsidRPr="004A03A0">
              <w:rPr>
                <w:color w:val="000000"/>
              </w:rPr>
              <w:t>Surface de façade &gt; à 120 m² en individuel ou petits collectifs</w:t>
            </w:r>
          </w:p>
        </w:tc>
        <w:tc>
          <w:tcPr>
            <w:tcW w:w="2449" w:type="dxa"/>
            <w:tcBorders>
              <w:top w:val="single" w:sz="12" w:space="0" w:color="auto"/>
              <w:bottom w:val="single" w:sz="12" w:space="0" w:color="auto"/>
              <w:right w:val="single" w:sz="12" w:space="0" w:color="auto"/>
            </w:tcBorders>
            <w:shd w:val="clear" w:color="auto" w:fill="auto"/>
          </w:tcPr>
          <w:p w:rsidR="00F44CB5" w:rsidRPr="004A03A0" w:rsidRDefault="00F44CB5" w:rsidP="00005A79">
            <w:pPr>
              <w:jc w:val="center"/>
              <w:rPr>
                <w:color w:val="000000"/>
              </w:rPr>
            </w:pPr>
            <w:r w:rsidRPr="004A03A0">
              <w:rPr>
                <w:color w:val="000000"/>
              </w:rPr>
              <w:t>Surface de façade &gt; à 120 m² et 31 logement ou plus</w:t>
            </w:r>
          </w:p>
        </w:tc>
      </w:tr>
      <w:tr w:rsidR="00F44CB5" w:rsidRPr="004A03A0" w:rsidTr="00AE39CF">
        <w:tc>
          <w:tcPr>
            <w:tcW w:w="2449" w:type="dxa"/>
            <w:tcBorders>
              <w:top w:val="single" w:sz="12" w:space="0" w:color="auto"/>
              <w:left w:val="single" w:sz="12" w:space="0" w:color="auto"/>
            </w:tcBorders>
            <w:shd w:val="clear" w:color="auto" w:fill="auto"/>
            <w:vAlign w:val="center"/>
          </w:tcPr>
          <w:p w:rsidR="00F44CB5" w:rsidRPr="004A03A0" w:rsidRDefault="00F44CB5" w:rsidP="00005A79">
            <w:pPr>
              <w:jc w:val="center"/>
              <w:rPr>
                <w:color w:val="000000"/>
              </w:rPr>
            </w:pPr>
          </w:p>
          <w:p w:rsidR="00F44CB5" w:rsidRPr="004A03A0" w:rsidRDefault="00F44CB5" w:rsidP="00005A79">
            <w:pPr>
              <w:jc w:val="center"/>
              <w:rPr>
                <w:color w:val="000000"/>
              </w:rPr>
            </w:pPr>
            <w:r w:rsidRPr="004A03A0">
              <w:rPr>
                <w:color w:val="000000"/>
              </w:rPr>
              <w:t>Ravalement qualitatif</w:t>
            </w:r>
          </w:p>
          <w:p w:rsidR="00F44CB5" w:rsidRPr="004A03A0" w:rsidRDefault="00F44CB5" w:rsidP="00005A79">
            <w:pPr>
              <w:jc w:val="center"/>
              <w:rPr>
                <w:color w:val="000000"/>
              </w:rPr>
            </w:pPr>
          </w:p>
        </w:tc>
        <w:tc>
          <w:tcPr>
            <w:tcW w:w="7347" w:type="dxa"/>
            <w:gridSpan w:val="3"/>
            <w:tcBorders>
              <w:top w:val="single" w:sz="12" w:space="0" w:color="auto"/>
              <w:right w:val="single" w:sz="12" w:space="0" w:color="auto"/>
            </w:tcBorders>
            <w:shd w:val="clear" w:color="auto" w:fill="auto"/>
            <w:vAlign w:val="center"/>
          </w:tcPr>
          <w:p w:rsidR="00F44CB5" w:rsidRPr="004A03A0" w:rsidRDefault="00F44CB5" w:rsidP="00005A79">
            <w:pPr>
              <w:jc w:val="center"/>
              <w:rPr>
                <w:color w:val="000000"/>
              </w:rPr>
            </w:pPr>
            <w:r w:rsidRPr="004A03A0">
              <w:rPr>
                <w:color w:val="000000"/>
              </w:rPr>
              <w:t>20%</w:t>
            </w:r>
          </w:p>
        </w:tc>
      </w:tr>
      <w:tr w:rsidR="00F44CB5" w:rsidRPr="004A03A0" w:rsidTr="00AE39CF">
        <w:tc>
          <w:tcPr>
            <w:tcW w:w="2449" w:type="dxa"/>
            <w:tcBorders>
              <w:left w:val="single" w:sz="12" w:space="0" w:color="auto"/>
              <w:bottom w:val="single" w:sz="12" w:space="0" w:color="auto"/>
            </w:tcBorders>
            <w:shd w:val="clear" w:color="auto" w:fill="auto"/>
            <w:vAlign w:val="center"/>
          </w:tcPr>
          <w:p w:rsidR="00F44CB5" w:rsidRPr="004A03A0" w:rsidRDefault="00F44CB5" w:rsidP="00005A79">
            <w:pPr>
              <w:jc w:val="center"/>
              <w:rPr>
                <w:color w:val="000000"/>
              </w:rPr>
            </w:pPr>
          </w:p>
          <w:p w:rsidR="00F44CB5" w:rsidRPr="004A03A0" w:rsidRDefault="00F44CB5" w:rsidP="00005A79">
            <w:pPr>
              <w:jc w:val="center"/>
              <w:rPr>
                <w:color w:val="000000"/>
              </w:rPr>
            </w:pPr>
            <w:r w:rsidRPr="004A03A0">
              <w:rPr>
                <w:color w:val="000000"/>
              </w:rPr>
              <w:t>Plafond</w:t>
            </w:r>
          </w:p>
          <w:p w:rsidR="00F44CB5" w:rsidRPr="004A03A0" w:rsidRDefault="00F44CB5" w:rsidP="00005A79">
            <w:pPr>
              <w:jc w:val="center"/>
              <w:rPr>
                <w:color w:val="000000"/>
              </w:rPr>
            </w:pPr>
          </w:p>
        </w:tc>
        <w:tc>
          <w:tcPr>
            <w:tcW w:w="2449" w:type="dxa"/>
            <w:tcBorders>
              <w:bottom w:val="single" w:sz="12" w:space="0" w:color="auto"/>
            </w:tcBorders>
            <w:shd w:val="clear" w:color="auto" w:fill="auto"/>
            <w:vAlign w:val="center"/>
          </w:tcPr>
          <w:p w:rsidR="00F44CB5" w:rsidRPr="004A03A0" w:rsidRDefault="00F44CB5" w:rsidP="00005A79">
            <w:pPr>
              <w:jc w:val="center"/>
              <w:rPr>
                <w:color w:val="000000"/>
              </w:rPr>
            </w:pPr>
            <w:r w:rsidRPr="004A03A0">
              <w:rPr>
                <w:color w:val="000000"/>
              </w:rPr>
              <w:t>5 000 €</w:t>
            </w:r>
          </w:p>
        </w:tc>
        <w:tc>
          <w:tcPr>
            <w:tcW w:w="2449" w:type="dxa"/>
            <w:tcBorders>
              <w:bottom w:val="single" w:sz="12" w:space="0" w:color="auto"/>
            </w:tcBorders>
            <w:shd w:val="clear" w:color="auto" w:fill="auto"/>
            <w:vAlign w:val="center"/>
          </w:tcPr>
          <w:p w:rsidR="00F44CB5" w:rsidRPr="004A03A0" w:rsidRDefault="00F44CB5" w:rsidP="00005A79">
            <w:pPr>
              <w:jc w:val="center"/>
              <w:rPr>
                <w:color w:val="000000"/>
              </w:rPr>
            </w:pPr>
            <w:r w:rsidRPr="004A03A0">
              <w:rPr>
                <w:color w:val="000000"/>
              </w:rPr>
              <w:t>8 000 €</w:t>
            </w:r>
          </w:p>
        </w:tc>
        <w:tc>
          <w:tcPr>
            <w:tcW w:w="2449" w:type="dxa"/>
            <w:tcBorders>
              <w:bottom w:val="single" w:sz="12" w:space="0" w:color="auto"/>
              <w:right w:val="single" w:sz="12" w:space="0" w:color="auto"/>
            </w:tcBorders>
            <w:shd w:val="clear" w:color="auto" w:fill="auto"/>
            <w:vAlign w:val="center"/>
          </w:tcPr>
          <w:p w:rsidR="00F44CB5" w:rsidRPr="004A03A0" w:rsidRDefault="00F44CB5" w:rsidP="00005A79">
            <w:pPr>
              <w:jc w:val="center"/>
              <w:rPr>
                <w:color w:val="000000"/>
              </w:rPr>
            </w:pPr>
            <w:r w:rsidRPr="004A03A0">
              <w:rPr>
                <w:color w:val="000000"/>
              </w:rPr>
              <w:t>16 000 €</w:t>
            </w:r>
          </w:p>
        </w:tc>
      </w:tr>
      <w:tr w:rsidR="00F44CB5" w:rsidRPr="004A03A0" w:rsidTr="00AE39CF">
        <w:tc>
          <w:tcPr>
            <w:tcW w:w="2449" w:type="dxa"/>
            <w:tcBorders>
              <w:top w:val="single" w:sz="12" w:space="0" w:color="auto"/>
              <w:left w:val="single" w:sz="12" w:space="0" w:color="auto"/>
            </w:tcBorders>
            <w:shd w:val="clear" w:color="auto" w:fill="auto"/>
            <w:vAlign w:val="center"/>
          </w:tcPr>
          <w:p w:rsidR="00F44CB5" w:rsidRDefault="00F44CB5" w:rsidP="00005A79">
            <w:pPr>
              <w:jc w:val="center"/>
              <w:rPr>
                <w:color w:val="000000"/>
              </w:rPr>
            </w:pPr>
          </w:p>
          <w:p w:rsidR="00F44CB5" w:rsidRDefault="00F44CB5" w:rsidP="00005A79">
            <w:pPr>
              <w:jc w:val="center"/>
              <w:rPr>
                <w:color w:val="000000"/>
              </w:rPr>
            </w:pPr>
            <w:r w:rsidRPr="004A03A0">
              <w:rPr>
                <w:color w:val="000000"/>
              </w:rPr>
              <w:t>Ravalement hautement qualitatif</w:t>
            </w:r>
          </w:p>
          <w:p w:rsidR="00F44CB5" w:rsidRPr="004A03A0" w:rsidRDefault="00F44CB5" w:rsidP="00005A79">
            <w:pPr>
              <w:jc w:val="center"/>
              <w:rPr>
                <w:color w:val="000000"/>
              </w:rPr>
            </w:pPr>
          </w:p>
        </w:tc>
        <w:tc>
          <w:tcPr>
            <w:tcW w:w="7347" w:type="dxa"/>
            <w:gridSpan w:val="3"/>
            <w:tcBorders>
              <w:top w:val="single" w:sz="12" w:space="0" w:color="auto"/>
              <w:right w:val="single" w:sz="12" w:space="0" w:color="auto"/>
            </w:tcBorders>
            <w:shd w:val="clear" w:color="auto" w:fill="auto"/>
            <w:vAlign w:val="center"/>
          </w:tcPr>
          <w:p w:rsidR="00F44CB5" w:rsidRPr="004A03A0" w:rsidRDefault="00F44CB5" w:rsidP="00005A79">
            <w:pPr>
              <w:jc w:val="center"/>
              <w:rPr>
                <w:color w:val="000000"/>
              </w:rPr>
            </w:pPr>
            <w:r w:rsidRPr="004A03A0">
              <w:rPr>
                <w:color w:val="000000"/>
              </w:rPr>
              <w:t>40%</w:t>
            </w:r>
          </w:p>
        </w:tc>
      </w:tr>
      <w:tr w:rsidR="00F44CB5" w:rsidRPr="004A03A0" w:rsidTr="00AE39CF">
        <w:tc>
          <w:tcPr>
            <w:tcW w:w="2449" w:type="dxa"/>
            <w:tcBorders>
              <w:left w:val="single" w:sz="12" w:space="0" w:color="auto"/>
              <w:bottom w:val="single" w:sz="12" w:space="0" w:color="auto"/>
            </w:tcBorders>
            <w:shd w:val="clear" w:color="auto" w:fill="auto"/>
            <w:vAlign w:val="center"/>
          </w:tcPr>
          <w:p w:rsidR="00F44CB5" w:rsidRPr="004A03A0" w:rsidRDefault="00F44CB5" w:rsidP="00005A79">
            <w:pPr>
              <w:jc w:val="center"/>
              <w:rPr>
                <w:color w:val="000000"/>
              </w:rPr>
            </w:pPr>
          </w:p>
          <w:p w:rsidR="00F44CB5" w:rsidRPr="004A03A0" w:rsidRDefault="00F44CB5" w:rsidP="00005A79">
            <w:pPr>
              <w:jc w:val="center"/>
              <w:rPr>
                <w:color w:val="000000"/>
              </w:rPr>
            </w:pPr>
            <w:r w:rsidRPr="004A03A0">
              <w:rPr>
                <w:color w:val="000000"/>
              </w:rPr>
              <w:t>Plafond</w:t>
            </w:r>
          </w:p>
          <w:p w:rsidR="00F44CB5" w:rsidRPr="004A03A0" w:rsidRDefault="00F44CB5" w:rsidP="00005A79">
            <w:pPr>
              <w:jc w:val="center"/>
              <w:rPr>
                <w:color w:val="000000"/>
              </w:rPr>
            </w:pPr>
          </w:p>
        </w:tc>
        <w:tc>
          <w:tcPr>
            <w:tcW w:w="2449" w:type="dxa"/>
            <w:tcBorders>
              <w:bottom w:val="single" w:sz="12" w:space="0" w:color="auto"/>
            </w:tcBorders>
            <w:shd w:val="clear" w:color="auto" w:fill="auto"/>
            <w:vAlign w:val="center"/>
          </w:tcPr>
          <w:p w:rsidR="00F44CB5" w:rsidRPr="004A03A0" w:rsidRDefault="00F44CB5" w:rsidP="00005A79">
            <w:pPr>
              <w:jc w:val="center"/>
              <w:rPr>
                <w:color w:val="000000"/>
              </w:rPr>
            </w:pPr>
            <w:r w:rsidRPr="004A03A0">
              <w:rPr>
                <w:color w:val="000000"/>
              </w:rPr>
              <w:t>12 000 €</w:t>
            </w:r>
          </w:p>
        </w:tc>
        <w:tc>
          <w:tcPr>
            <w:tcW w:w="2449" w:type="dxa"/>
            <w:tcBorders>
              <w:bottom w:val="single" w:sz="12" w:space="0" w:color="auto"/>
            </w:tcBorders>
            <w:shd w:val="clear" w:color="auto" w:fill="auto"/>
            <w:vAlign w:val="center"/>
          </w:tcPr>
          <w:p w:rsidR="00F44CB5" w:rsidRPr="004A03A0" w:rsidRDefault="00F44CB5" w:rsidP="00005A79">
            <w:pPr>
              <w:jc w:val="center"/>
              <w:rPr>
                <w:color w:val="000000"/>
              </w:rPr>
            </w:pPr>
            <w:r w:rsidRPr="004A03A0">
              <w:rPr>
                <w:color w:val="000000"/>
              </w:rPr>
              <w:t>15 000 €</w:t>
            </w:r>
          </w:p>
        </w:tc>
        <w:tc>
          <w:tcPr>
            <w:tcW w:w="2449" w:type="dxa"/>
            <w:tcBorders>
              <w:bottom w:val="single" w:sz="12" w:space="0" w:color="auto"/>
              <w:right w:val="single" w:sz="12" w:space="0" w:color="auto"/>
            </w:tcBorders>
            <w:shd w:val="clear" w:color="auto" w:fill="auto"/>
            <w:vAlign w:val="center"/>
          </w:tcPr>
          <w:p w:rsidR="00F44CB5" w:rsidRPr="004A03A0" w:rsidRDefault="00F44CB5" w:rsidP="00005A79">
            <w:pPr>
              <w:jc w:val="center"/>
              <w:rPr>
                <w:color w:val="000000"/>
              </w:rPr>
            </w:pPr>
            <w:r w:rsidRPr="004A03A0">
              <w:rPr>
                <w:color w:val="000000"/>
              </w:rPr>
              <w:t>30 000 €</w:t>
            </w:r>
          </w:p>
        </w:tc>
      </w:tr>
      <w:tr w:rsidR="00F44CB5" w:rsidRPr="004A03A0" w:rsidTr="00AE39CF">
        <w:tc>
          <w:tcPr>
            <w:tcW w:w="2449" w:type="dxa"/>
            <w:tcBorders>
              <w:top w:val="single" w:sz="12" w:space="0" w:color="auto"/>
              <w:left w:val="single" w:sz="12" w:space="0" w:color="auto"/>
            </w:tcBorders>
            <w:shd w:val="clear" w:color="auto" w:fill="auto"/>
            <w:vAlign w:val="center"/>
          </w:tcPr>
          <w:p w:rsidR="00F44CB5" w:rsidRPr="004A03A0" w:rsidRDefault="00F44CB5" w:rsidP="00005A79">
            <w:pPr>
              <w:jc w:val="center"/>
              <w:rPr>
                <w:color w:val="000000"/>
              </w:rPr>
            </w:pPr>
            <w:r w:rsidRPr="004A03A0">
              <w:rPr>
                <w:color w:val="000000"/>
              </w:rPr>
              <w:t>Rénovation devanture commerciale</w:t>
            </w:r>
            <w:r>
              <w:rPr>
                <w:color w:val="000000"/>
              </w:rPr>
              <w:t xml:space="preserve"> y compris menuiseries</w:t>
            </w:r>
          </w:p>
        </w:tc>
        <w:tc>
          <w:tcPr>
            <w:tcW w:w="7347" w:type="dxa"/>
            <w:gridSpan w:val="3"/>
            <w:tcBorders>
              <w:top w:val="single" w:sz="12" w:space="0" w:color="auto"/>
              <w:right w:val="single" w:sz="12" w:space="0" w:color="auto"/>
            </w:tcBorders>
            <w:shd w:val="clear" w:color="auto" w:fill="auto"/>
            <w:vAlign w:val="center"/>
          </w:tcPr>
          <w:p w:rsidR="00F44CB5" w:rsidRPr="004A03A0" w:rsidRDefault="00F44CB5" w:rsidP="00005A79">
            <w:pPr>
              <w:jc w:val="center"/>
              <w:rPr>
                <w:color w:val="000000"/>
              </w:rPr>
            </w:pPr>
            <w:r w:rsidRPr="004A03A0">
              <w:rPr>
                <w:color w:val="000000"/>
              </w:rPr>
              <w:t>20%</w:t>
            </w:r>
          </w:p>
        </w:tc>
      </w:tr>
      <w:tr w:rsidR="00F44CB5" w:rsidRPr="004A03A0" w:rsidTr="00AE39CF">
        <w:tc>
          <w:tcPr>
            <w:tcW w:w="2449" w:type="dxa"/>
            <w:tcBorders>
              <w:left w:val="single" w:sz="12" w:space="0" w:color="auto"/>
              <w:bottom w:val="single" w:sz="12" w:space="0" w:color="auto"/>
            </w:tcBorders>
            <w:shd w:val="clear" w:color="auto" w:fill="auto"/>
            <w:vAlign w:val="center"/>
          </w:tcPr>
          <w:p w:rsidR="00F44CB5" w:rsidRPr="004A03A0" w:rsidRDefault="00F44CB5" w:rsidP="00005A79">
            <w:pPr>
              <w:jc w:val="center"/>
              <w:rPr>
                <w:color w:val="000000"/>
              </w:rPr>
            </w:pPr>
          </w:p>
          <w:p w:rsidR="00F44CB5" w:rsidRPr="004A03A0" w:rsidRDefault="00F44CB5" w:rsidP="00005A79">
            <w:pPr>
              <w:jc w:val="center"/>
              <w:rPr>
                <w:color w:val="000000"/>
              </w:rPr>
            </w:pPr>
            <w:r w:rsidRPr="004A03A0">
              <w:rPr>
                <w:color w:val="000000"/>
              </w:rPr>
              <w:t>Plafond</w:t>
            </w:r>
          </w:p>
          <w:p w:rsidR="00F44CB5" w:rsidRPr="004A03A0" w:rsidRDefault="00F44CB5" w:rsidP="00005A79">
            <w:pPr>
              <w:jc w:val="center"/>
              <w:rPr>
                <w:color w:val="000000"/>
              </w:rPr>
            </w:pPr>
          </w:p>
        </w:tc>
        <w:tc>
          <w:tcPr>
            <w:tcW w:w="7347" w:type="dxa"/>
            <w:gridSpan w:val="3"/>
            <w:tcBorders>
              <w:bottom w:val="single" w:sz="12" w:space="0" w:color="auto"/>
              <w:right w:val="single" w:sz="12" w:space="0" w:color="auto"/>
            </w:tcBorders>
            <w:shd w:val="clear" w:color="auto" w:fill="auto"/>
            <w:vAlign w:val="center"/>
          </w:tcPr>
          <w:p w:rsidR="00F44CB5" w:rsidRPr="004A03A0" w:rsidRDefault="00F44CB5" w:rsidP="00005A79">
            <w:pPr>
              <w:jc w:val="center"/>
              <w:rPr>
                <w:color w:val="000000"/>
              </w:rPr>
            </w:pPr>
            <w:r w:rsidRPr="004A03A0">
              <w:rPr>
                <w:color w:val="000000"/>
              </w:rPr>
              <w:t>3 000 €</w:t>
            </w:r>
          </w:p>
        </w:tc>
      </w:tr>
      <w:tr w:rsidR="00F44CB5" w:rsidRPr="00EE0088" w:rsidTr="00AE39CF">
        <w:tc>
          <w:tcPr>
            <w:tcW w:w="2449" w:type="dxa"/>
            <w:tcBorders>
              <w:top w:val="single" w:sz="12" w:space="0" w:color="auto"/>
              <w:left w:val="single" w:sz="12" w:space="0" w:color="auto"/>
            </w:tcBorders>
            <w:shd w:val="clear" w:color="auto" w:fill="auto"/>
            <w:vAlign w:val="center"/>
          </w:tcPr>
          <w:p w:rsidR="00F44CB5" w:rsidRPr="004A03A0" w:rsidRDefault="00F44CB5" w:rsidP="00005A79">
            <w:pPr>
              <w:jc w:val="center"/>
              <w:rPr>
                <w:color w:val="000000"/>
              </w:rPr>
            </w:pPr>
            <w:r w:rsidRPr="004A03A0">
              <w:rPr>
                <w:color w:val="000000"/>
              </w:rPr>
              <w:t xml:space="preserve">Menuiseries bois </w:t>
            </w:r>
            <w:r>
              <w:rPr>
                <w:color w:val="000000"/>
              </w:rPr>
              <w:t xml:space="preserve"> (hors devanture commerciale) </w:t>
            </w:r>
          </w:p>
        </w:tc>
        <w:tc>
          <w:tcPr>
            <w:tcW w:w="7347" w:type="dxa"/>
            <w:gridSpan w:val="3"/>
            <w:tcBorders>
              <w:top w:val="single" w:sz="12" w:space="0" w:color="auto"/>
              <w:right w:val="single" w:sz="12" w:space="0" w:color="auto"/>
            </w:tcBorders>
            <w:shd w:val="clear" w:color="auto" w:fill="auto"/>
            <w:vAlign w:val="center"/>
          </w:tcPr>
          <w:p w:rsidR="00F44CB5" w:rsidRPr="004A03A0" w:rsidRDefault="00F44CB5" w:rsidP="00005A79">
            <w:pPr>
              <w:jc w:val="center"/>
              <w:rPr>
                <w:color w:val="000000"/>
              </w:rPr>
            </w:pPr>
            <w:r w:rsidRPr="004A03A0">
              <w:rPr>
                <w:color w:val="000000"/>
              </w:rPr>
              <w:t>10%</w:t>
            </w:r>
          </w:p>
        </w:tc>
      </w:tr>
      <w:tr w:rsidR="00F44CB5" w:rsidRPr="00EE0088" w:rsidTr="00AE39CF">
        <w:tc>
          <w:tcPr>
            <w:tcW w:w="2449" w:type="dxa"/>
            <w:tcBorders>
              <w:left w:val="single" w:sz="12" w:space="0" w:color="auto"/>
              <w:bottom w:val="single" w:sz="12" w:space="0" w:color="auto"/>
            </w:tcBorders>
            <w:shd w:val="clear" w:color="auto" w:fill="auto"/>
            <w:vAlign w:val="center"/>
          </w:tcPr>
          <w:p w:rsidR="00F44CB5" w:rsidRDefault="00F44CB5" w:rsidP="00005A79">
            <w:pPr>
              <w:jc w:val="center"/>
              <w:rPr>
                <w:color w:val="000000"/>
              </w:rPr>
            </w:pPr>
          </w:p>
          <w:p w:rsidR="00F44CB5" w:rsidRDefault="00F44CB5" w:rsidP="00005A79">
            <w:pPr>
              <w:jc w:val="center"/>
              <w:rPr>
                <w:color w:val="000000"/>
              </w:rPr>
            </w:pPr>
            <w:r>
              <w:rPr>
                <w:color w:val="000000"/>
              </w:rPr>
              <w:t>Plafond</w:t>
            </w:r>
          </w:p>
          <w:p w:rsidR="00F44CB5" w:rsidRPr="004A03A0" w:rsidRDefault="00F44CB5" w:rsidP="00005A79">
            <w:pPr>
              <w:jc w:val="center"/>
              <w:rPr>
                <w:color w:val="000000"/>
              </w:rPr>
            </w:pPr>
          </w:p>
        </w:tc>
        <w:tc>
          <w:tcPr>
            <w:tcW w:w="7347" w:type="dxa"/>
            <w:gridSpan w:val="3"/>
            <w:tcBorders>
              <w:bottom w:val="single" w:sz="12" w:space="0" w:color="auto"/>
              <w:right w:val="single" w:sz="12" w:space="0" w:color="auto"/>
            </w:tcBorders>
            <w:shd w:val="clear" w:color="auto" w:fill="auto"/>
            <w:vAlign w:val="center"/>
          </w:tcPr>
          <w:p w:rsidR="00F44CB5" w:rsidRPr="004A03A0" w:rsidRDefault="00F44CB5" w:rsidP="00005A79">
            <w:pPr>
              <w:jc w:val="center"/>
              <w:rPr>
                <w:color w:val="000000"/>
              </w:rPr>
            </w:pPr>
            <w:r>
              <w:rPr>
                <w:color w:val="000000"/>
              </w:rPr>
              <w:t>1 500 €</w:t>
            </w:r>
          </w:p>
        </w:tc>
      </w:tr>
    </w:tbl>
    <w:p w:rsidR="00F44CB5" w:rsidRDefault="00F44CB5" w:rsidP="00F44CB5">
      <w:pPr>
        <w:sectPr w:rsidR="00F44CB5">
          <w:footerReference w:type="default" r:id="rId7"/>
          <w:pgSz w:w="11906" w:h="16838"/>
          <w:pgMar w:top="1125" w:right="1125" w:bottom="1691" w:left="1125" w:header="720" w:footer="1125" w:gutter="0"/>
          <w:cols w:space="720"/>
          <w:docGrid w:linePitch="360"/>
        </w:sectPr>
      </w:pPr>
      <w:bookmarkStart w:id="0" w:name="_GoBack"/>
      <w:bookmarkEnd w:id="0"/>
    </w:p>
    <w:p w:rsidR="00F44CB5" w:rsidRDefault="00F44CB5" w:rsidP="00F44CB5">
      <w:pPr>
        <w:jc w:val="center"/>
        <w:rPr>
          <w:color w:val="000000"/>
        </w:rPr>
      </w:pPr>
      <w:r>
        <w:rPr>
          <w:color w:val="000000"/>
        </w:rPr>
        <w:lastRenderedPageBreak/>
        <w:t>PLAN DE PERIMETRE</w:t>
      </w:r>
    </w:p>
    <w:p w:rsidR="00F44CB5" w:rsidRDefault="00F44CB5" w:rsidP="00F44CB5">
      <w:pPr>
        <w:jc w:val="center"/>
        <w:rPr>
          <w:color w:val="000000"/>
        </w:rPr>
      </w:pPr>
      <w:r w:rsidRPr="00B75CF6">
        <w:rPr>
          <w:noProof/>
          <w:lang w:eastAsia="fr-FR"/>
        </w:rPr>
        <w:drawing>
          <wp:inline distT="0" distB="0" distL="0" distR="0">
            <wp:extent cx="8010525" cy="55530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l="7831" t="8345" r="22165" b="5324"/>
                    <a:stretch>
                      <a:fillRect/>
                    </a:stretch>
                  </pic:blipFill>
                  <pic:spPr bwMode="auto">
                    <a:xfrm>
                      <a:off x="0" y="0"/>
                      <a:ext cx="8010525" cy="5553075"/>
                    </a:xfrm>
                    <a:prstGeom prst="rect">
                      <a:avLst/>
                    </a:prstGeom>
                    <a:noFill/>
                    <a:ln>
                      <a:noFill/>
                    </a:ln>
                  </pic:spPr>
                </pic:pic>
              </a:graphicData>
            </a:graphic>
          </wp:inline>
        </w:drawing>
      </w:r>
    </w:p>
    <w:p w:rsidR="00F44DE6" w:rsidRDefault="00F44DE6"/>
    <w:sectPr w:rsidR="00F44DE6" w:rsidSect="00A82435">
      <w:footerReference w:type="default" r:id="rId9"/>
      <w:pgSz w:w="16838" w:h="11906" w:orient="landscape"/>
      <w:pgMar w:top="1123" w:right="1123" w:bottom="1123" w:left="1690" w:header="720" w:footer="112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BDD" w:rsidRDefault="00717866">
      <w:r>
        <w:separator/>
      </w:r>
    </w:p>
  </w:endnote>
  <w:endnote w:type="continuationSeparator" w:id="0">
    <w:p w:rsidR="00810BDD" w:rsidRDefault="00717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3A0" w:rsidRDefault="00F44CB5">
    <w:pPr>
      <w:pStyle w:val="Pieddepage"/>
      <w:jc w:val="right"/>
    </w:pPr>
    <w:r>
      <w:rPr>
        <w:sz w:val="18"/>
        <w:szCs w:val="18"/>
      </w:rPr>
      <w:fldChar w:fldCharType="begin"/>
    </w:r>
    <w:r>
      <w:rPr>
        <w:sz w:val="18"/>
        <w:szCs w:val="18"/>
      </w:rPr>
      <w:instrText xml:space="preserve"> PAGE </w:instrText>
    </w:r>
    <w:r>
      <w:rPr>
        <w:sz w:val="18"/>
        <w:szCs w:val="18"/>
      </w:rPr>
      <w:fldChar w:fldCharType="separate"/>
    </w:r>
    <w:r w:rsidR="00AE39CF">
      <w:rPr>
        <w:noProof/>
        <w:sz w:val="18"/>
        <w:szCs w:val="18"/>
      </w:rPr>
      <w:t>2</w:t>
    </w:r>
    <w:r>
      <w:rPr>
        <w:sz w:val="18"/>
        <w:szCs w:val="18"/>
      </w:rPr>
      <w:fldChar w:fldCharType="end"/>
    </w:r>
    <w:r>
      <w:rPr>
        <w:sz w:val="18"/>
        <w:szCs w:val="18"/>
      </w:rPr>
      <w:t>/</w:t>
    </w:r>
    <w:r>
      <w:rPr>
        <w:sz w:val="18"/>
        <w:szCs w:val="18"/>
      </w:rPr>
      <w:fldChar w:fldCharType="begin"/>
    </w:r>
    <w:r>
      <w:rPr>
        <w:sz w:val="18"/>
        <w:szCs w:val="18"/>
      </w:rPr>
      <w:instrText xml:space="preserve"> NUMPAGES \*Arabic </w:instrText>
    </w:r>
    <w:r>
      <w:rPr>
        <w:sz w:val="18"/>
        <w:szCs w:val="18"/>
      </w:rPr>
      <w:fldChar w:fldCharType="separate"/>
    </w:r>
    <w:r w:rsidR="00AE39CF">
      <w:rPr>
        <w:noProof/>
        <w:sz w:val="18"/>
        <w:szCs w:val="18"/>
      </w:rPr>
      <w:t>4</w:t>
    </w:r>
    <w:r>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F2C" w:rsidRDefault="00F44CB5">
    <w:pPr>
      <w:pStyle w:val="Pieddepage"/>
      <w:jc w:val="right"/>
    </w:pPr>
    <w:r>
      <w:rPr>
        <w:sz w:val="18"/>
        <w:szCs w:val="18"/>
      </w:rPr>
      <w:fldChar w:fldCharType="begin"/>
    </w:r>
    <w:r>
      <w:rPr>
        <w:sz w:val="18"/>
        <w:szCs w:val="18"/>
      </w:rPr>
      <w:instrText xml:space="preserve"> PAGE </w:instrText>
    </w:r>
    <w:r>
      <w:rPr>
        <w:sz w:val="18"/>
        <w:szCs w:val="18"/>
      </w:rPr>
      <w:fldChar w:fldCharType="separate"/>
    </w:r>
    <w:r w:rsidR="00AE39CF">
      <w:rPr>
        <w:noProof/>
        <w:sz w:val="18"/>
        <w:szCs w:val="18"/>
      </w:rPr>
      <w:t>4</w:t>
    </w:r>
    <w:r>
      <w:rPr>
        <w:sz w:val="18"/>
        <w:szCs w:val="18"/>
      </w:rPr>
      <w:fldChar w:fldCharType="end"/>
    </w:r>
    <w:r>
      <w:rPr>
        <w:sz w:val="18"/>
        <w:szCs w:val="18"/>
      </w:rPr>
      <w:t>/</w:t>
    </w:r>
    <w:r>
      <w:rPr>
        <w:sz w:val="18"/>
        <w:szCs w:val="18"/>
      </w:rPr>
      <w:fldChar w:fldCharType="begin"/>
    </w:r>
    <w:r>
      <w:rPr>
        <w:sz w:val="18"/>
        <w:szCs w:val="18"/>
      </w:rPr>
      <w:instrText xml:space="preserve"> NUMPAGES \*Arabic </w:instrText>
    </w:r>
    <w:r>
      <w:rPr>
        <w:sz w:val="18"/>
        <w:szCs w:val="18"/>
      </w:rPr>
      <w:fldChar w:fldCharType="separate"/>
    </w:r>
    <w:r w:rsidR="00AE39CF">
      <w:rPr>
        <w:noProof/>
        <w:sz w:val="18"/>
        <w:szCs w:val="18"/>
      </w:rPr>
      <w:t>4</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BDD" w:rsidRDefault="00717866">
      <w:r>
        <w:separator/>
      </w:r>
    </w:p>
  </w:footnote>
  <w:footnote w:type="continuationSeparator" w:id="0">
    <w:p w:rsidR="00810BDD" w:rsidRDefault="007178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683304"/>
    <w:multiLevelType w:val="hybridMultilevel"/>
    <w:tmpl w:val="2702FB8E"/>
    <w:lvl w:ilvl="0" w:tplc="831C4706">
      <w:start w:val="2"/>
      <w:numFmt w:val="bullet"/>
      <w:lvlText w:val="-"/>
      <w:lvlJc w:val="left"/>
      <w:pPr>
        <w:ind w:left="644" w:hanging="360"/>
      </w:pPr>
      <w:rPr>
        <w:rFonts w:ascii="Times New Roman" w:eastAsia="Lucida Sans Unicode"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B5"/>
    <w:rsid w:val="00717866"/>
    <w:rsid w:val="00810BDD"/>
    <w:rsid w:val="00AE39CF"/>
    <w:rsid w:val="00F44CB5"/>
    <w:rsid w:val="00F44D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19D011-6AD8-4A6E-940D-DB63FB542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CB5"/>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F44CB5"/>
    <w:pPr>
      <w:suppressLineNumbers/>
      <w:tabs>
        <w:tab w:val="center" w:pos="4818"/>
        <w:tab w:val="right" w:pos="9637"/>
      </w:tabs>
    </w:pPr>
  </w:style>
  <w:style w:type="character" w:customStyle="1" w:styleId="PieddepageCar">
    <w:name w:val="Pied de page Car"/>
    <w:basedOn w:val="Policepardfaut"/>
    <w:link w:val="Pieddepage"/>
    <w:rsid w:val="00F44CB5"/>
    <w:rPr>
      <w:rFonts w:ascii="Times New Roman" w:eastAsia="Lucida Sans Unicode" w:hAnsi="Times New Roman" w:cs="Times New Roman"/>
      <w:kern w:val="1"/>
      <w:sz w:val="24"/>
      <w:szCs w:val="24"/>
    </w:rPr>
  </w:style>
  <w:style w:type="paragraph" w:styleId="En-tte">
    <w:name w:val="header"/>
    <w:basedOn w:val="Normal"/>
    <w:link w:val="En-tteCar"/>
    <w:uiPriority w:val="99"/>
    <w:rsid w:val="00F44CB5"/>
    <w:pPr>
      <w:tabs>
        <w:tab w:val="center" w:pos="4536"/>
        <w:tab w:val="right" w:pos="9072"/>
      </w:tabs>
    </w:pPr>
  </w:style>
  <w:style w:type="character" w:customStyle="1" w:styleId="En-tteCar">
    <w:name w:val="En-tête Car"/>
    <w:basedOn w:val="Policepardfaut"/>
    <w:link w:val="En-tte"/>
    <w:uiPriority w:val="99"/>
    <w:rsid w:val="00F44CB5"/>
    <w:rPr>
      <w:rFonts w:ascii="Times New Roman" w:eastAsia="Lucida Sans Unicode"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906</Words>
  <Characters>4989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 BULLOZ</dc:creator>
  <cp:keywords/>
  <dc:description/>
  <cp:lastModifiedBy>Aurelie BULLOZ</cp:lastModifiedBy>
  <cp:revision>3</cp:revision>
  <dcterms:created xsi:type="dcterms:W3CDTF">2017-12-13T10:00:00Z</dcterms:created>
  <dcterms:modified xsi:type="dcterms:W3CDTF">2018-01-10T08:57:00Z</dcterms:modified>
</cp:coreProperties>
</file>